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7D7C" w14:textId="77777777" w:rsidR="00D91534" w:rsidRPr="007356EE" w:rsidRDefault="0067460A">
      <w:pPr>
        <w:pStyle w:val="Default"/>
        <w:ind w:left="708" w:hanging="708"/>
        <w:jc w:val="center"/>
        <w:outlineLvl w:val="0"/>
        <w:rPr>
          <w:b/>
          <w:bCs/>
          <w:color w:val="31319A"/>
          <w:sz w:val="32"/>
          <w:szCs w:val="32"/>
          <w:lang w:val="en-GB"/>
        </w:rPr>
      </w:pPr>
      <w:r w:rsidRPr="007356EE">
        <w:rPr>
          <w:b/>
          <w:bCs/>
          <w:color w:val="31319A"/>
          <w:sz w:val="32"/>
          <w:szCs w:val="32"/>
          <w:lang w:val="en-GB"/>
        </w:rPr>
        <w:t xml:space="preserve">Statement of Intent for a </w:t>
      </w:r>
    </w:p>
    <w:p w14:paraId="23E0C18F" w14:textId="77777777" w:rsidR="00D91534" w:rsidRPr="007356EE" w:rsidRDefault="0067460A">
      <w:pPr>
        <w:pStyle w:val="Default"/>
        <w:ind w:left="708" w:hanging="708"/>
        <w:jc w:val="center"/>
        <w:outlineLvl w:val="0"/>
        <w:rPr>
          <w:b/>
          <w:bCs/>
          <w:color w:val="31319A"/>
          <w:sz w:val="32"/>
          <w:szCs w:val="32"/>
          <w:lang w:val="en-GB"/>
        </w:rPr>
      </w:pPr>
      <w:r w:rsidRPr="007356EE">
        <w:rPr>
          <w:b/>
          <w:bCs/>
          <w:color w:val="31319A"/>
          <w:sz w:val="32"/>
          <w:szCs w:val="32"/>
          <w:lang w:val="en-GB"/>
        </w:rPr>
        <w:t>Dual Doctorate Degree Program</w:t>
      </w:r>
    </w:p>
    <w:p w14:paraId="006E57AE" w14:textId="77777777" w:rsidR="00D91534" w:rsidRPr="007356EE" w:rsidRDefault="00D91534">
      <w:pPr>
        <w:pStyle w:val="Default"/>
        <w:jc w:val="center"/>
        <w:rPr>
          <w:sz w:val="22"/>
          <w:szCs w:val="22"/>
          <w:lang w:val="en-GB"/>
        </w:rPr>
      </w:pPr>
    </w:p>
    <w:p w14:paraId="242661B0" w14:textId="77777777" w:rsidR="00D91534" w:rsidRPr="007356EE" w:rsidRDefault="0067460A">
      <w:pPr>
        <w:pStyle w:val="Default"/>
        <w:jc w:val="center"/>
        <w:outlineLvl w:val="0"/>
        <w:rPr>
          <w:sz w:val="22"/>
          <w:szCs w:val="22"/>
          <w:lang w:val="it-IT"/>
        </w:rPr>
      </w:pPr>
      <w:r w:rsidRPr="007356EE">
        <w:rPr>
          <w:sz w:val="22"/>
          <w:szCs w:val="22"/>
          <w:lang w:val="it-IT"/>
        </w:rPr>
        <w:t>Agreement between:</w:t>
      </w:r>
    </w:p>
    <w:p w14:paraId="6F7E6E9C" w14:textId="77777777" w:rsidR="00D91534" w:rsidRPr="007356EE" w:rsidRDefault="00D91534">
      <w:pPr>
        <w:pStyle w:val="Default"/>
        <w:rPr>
          <w:sz w:val="22"/>
          <w:szCs w:val="22"/>
          <w:lang w:val="it-IT"/>
        </w:rPr>
      </w:pPr>
    </w:p>
    <w:p w14:paraId="60663B90" w14:textId="77777777" w:rsidR="00D91534" w:rsidRPr="007356EE" w:rsidRDefault="00D91534">
      <w:pPr>
        <w:pStyle w:val="Default"/>
        <w:jc w:val="center"/>
        <w:rPr>
          <w:sz w:val="22"/>
          <w:szCs w:val="22"/>
          <w:lang w:val="it-IT"/>
        </w:rPr>
      </w:pPr>
    </w:p>
    <w:p w14:paraId="4D07E04C" w14:textId="77777777" w:rsidR="000E6339" w:rsidRPr="007356EE" w:rsidRDefault="000E6339" w:rsidP="000E6339">
      <w:pPr>
        <w:pStyle w:val="Default"/>
        <w:jc w:val="center"/>
        <w:rPr>
          <w:b/>
          <w:sz w:val="22"/>
          <w:szCs w:val="22"/>
          <w:lang w:val="it-IT"/>
        </w:rPr>
      </w:pPr>
      <w:r w:rsidRPr="007356EE">
        <w:rPr>
          <w:b/>
          <w:sz w:val="22"/>
          <w:szCs w:val="22"/>
          <w:lang w:val="it-IT"/>
        </w:rPr>
        <w:t>POLITECNICO DI MILANO (POLIMI)</w:t>
      </w:r>
    </w:p>
    <w:p w14:paraId="4234AD69" w14:textId="77777777" w:rsidR="000E6339" w:rsidRPr="007356EE" w:rsidRDefault="000E6339" w:rsidP="000E6339">
      <w:pPr>
        <w:pStyle w:val="Default"/>
        <w:jc w:val="center"/>
        <w:rPr>
          <w:b/>
          <w:sz w:val="22"/>
          <w:szCs w:val="22"/>
          <w:lang w:val="it-IT"/>
        </w:rPr>
      </w:pPr>
      <w:r w:rsidRPr="007356EE">
        <w:rPr>
          <w:b/>
          <w:sz w:val="22"/>
          <w:szCs w:val="22"/>
          <w:lang w:val="it-IT"/>
        </w:rPr>
        <w:t>Piazza Leonardo da Vinci 32</w:t>
      </w:r>
    </w:p>
    <w:p w14:paraId="79ED5AE6" w14:textId="77777777" w:rsidR="000E6339" w:rsidRPr="007356EE" w:rsidRDefault="000E6339" w:rsidP="000E6339">
      <w:pPr>
        <w:pStyle w:val="Default"/>
        <w:jc w:val="center"/>
        <w:rPr>
          <w:b/>
          <w:sz w:val="22"/>
          <w:szCs w:val="22"/>
          <w:lang w:val="it-IT"/>
        </w:rPr>
      </w:pPr>
      <w:r w:rsidRPr="007356EE">
        <w:rPr>
          <w:b/>
          <w:sz w:val="22"/>
          <w:szCs w:val="22"/>
          <w:lang w:val="it-IT"/>
        </w:rPr>
        <w:t xml:space="preserve">20133 Milano, Italy </w:t>
      </w:r>
    </w:p>
    <w:p w14:paraId="21C52DE1" w14:textId="77777777" w:rsidR="00D91534" w:rsidRPr="007356EE" w:rsidRDefault="000E6339" w:rsidP="000E6339">
      <w:pPr>
        <w:pStyle w:val="Default"/>
        <w:jc w:val="center"/>
        <w:rPr>
          <w:b/>
          <w:sz w:val="22"/>
          <w:szCs w:val="22"/>
          <w:lang w:val="en-GB"/>
        </w:rPr>
      </w:pPr>
      <w:r w:rsidRPr="007356EE">
        <w:rPr>
          <w:b/>
          <w:sz w:val="22"/>
          <w:szCs w:val="22"/>
          <w:lang w:val="it-IT"/>
        </w:rPr>
        <w:t xml:space="preserve"> </w:t>
      </w:r>
      <w:r w:rsidR="0067460A" w:rsidRPr="007356EE">
        <w:rPr>
          <w:b/>
          <w:sz w:val="22"/>
          <w:szCs w:val="22"/>
          <w:lang w:val="en-GB"/>
        </w:rPr>
        <w:t>(Subsequently referred to as “</w:t>
      </w:r>
      <w:r w:rsidRPr="007356EE">
        <w:rPr>
          <w:b/>
          <w:sz w:val="22"/>
          <w:szCs w:val="22"/>
          <w:lang w:val="en-GB"/>
        </w:rPr>
        <w:t>POLIMI</w:t>
      </w:r>
      <w:r w:rsidR="0067460A" w:rsidRPr="007356EE">
        <w:rPr>
          <w:b/>
          <w:sz w:val="22"/>
          <w:szCs w:val="22"/>
          <w:lang w:val="en-GB"/>
        </w:rPr>
        <w:t>”)</w:t>
      </w:r>
    </w:p>
    <w:p w14:paraId="247DE230" w14:textId="77777777" w:rsidR="000E6339" w:rsidRPr="007356EE" w:rsidRDefault="0067460A" w:rsidP="000E6339">
      <w:pPr>
        <w:pStyle w:val="Default"/>
        <w:jc w:val="center"/>
        <w:rPr>
          <w:b/>
          <w:sz w:val="22"/>
          <w:szCs w:val="22"/>
          <w:lang w:val="en-GB"/>
        </w:rPr>
      </w:pPr>
      <w:r w:rsidRPr="007356EE">
        <w:rPr>
          <w:sz w:val="22"/>
          <w:szCs w:val="22"/>
          <w:lang w:val="en-GB"/>
        </w:rPr>
        <w:t xml:space="preserve">represented by </w:t>
      </w:r>
      <w:r w:rsidRPr="007356EE">
        <w:rPr>
          <w:iCs/>
          <w:sz w:val="22"/>
          <w:szCs w:val="22"/>
          <w:lang w:val="en-GB"/>
        </w:rPr>
        <w:t xml:space="preserve">the President </w:t>
      </w:r>
      <w:r w:rsidR="000E6339" w:rsidRPr="007356EE">
        <w:rPr>
          <w:b/>
          <w:sz w:val="22"/>
          <w:szCs w:val="22"/>
          <w:lang w:val="en-GB"/>
        </w:rPr>
        <w:t xml:space="preserve">Prof. Donatella </w:t>
      </w:r>
      <w:proofErr w:type="spellStart"/>
      <w:r w:rsidR="000E6339" w:rsidRPr="007356EE">
        <w:rPr>
          <w:b/>
          <w:sz w:val="22"/>
          <w:szCs w:val="22"/>
          <w:lang w:val="en-GB"/>
        </w:rPr>
        <w:t>Sciuto</w:t>
      </w:r>
      <w:proofErr w:type="spellEnd"/>
      <w:r w:rsidR="000E6339" w:rsidRPr="007356EE">
        <w:rPr>
          <w:b/>
          <w:sz w:val="22"/>
          <w:szCs w:val="22"/>
          <w:lang w:val="en-GB"/>
        </w:rPr>
        <w:t xml:space="preserve"> </w:t>
      </w:r>
    </w:p>
    <w:p w14:paraId="0C5B0FED" w14:textId="77777777" w:rsidR="00D91534" w:rsidRPr="007356EE" w:rsidRDefault="00D91534">
      <w:pPr>
        <w:pStyle w:val="Default"/>
        <w:jc w:val="center"/>
        <w:rPr>
          <w:b/>
          <w:sz w:val="22"/>
          <w:szCs w:val="22"/>
          <w:lang w:val="en-GB"/>
        </w:rPr>
      </w:pPr>
    </w:p>
    <w:p w14:paraId="1C7EAB53" w14:textId="77777777" w:rsidR="00D91534" w:rsidRPr="007356EE" w:rsidRDefault="00D91534">
      <w:pPr>
        <w:pStyle w:val="Default"/>
        <w:jc w:val="center"/>
        <w:rPr>
          <w:b/>
          <w:sz w:val="22"/>
          <w:szCs w:val="22"/>
          <w:lang w:val="en-GB"/>
        </w:rPr>
      </w:pPr>
    </w:p>
    <w:p w14:paraId="427F59C8" w14:textId="77777777" w:rsidR="00D91534" w:rsidRPr="007356EE" w:rsidRDefault="0067460A">
      <w:pPr>
        <w:pStyle w:val="Default"/>
        <w:jc w:val="center"/>
        <w:outlineLvl w:val="0"/>
        <w:rPr>
          <w:sz w:val="22"/>
          <w:szCs w:val="22"/>
          <w:lang w:val="en-GB"/>
        </w:rPr>
      </w:pPr>
      <w:r w:rsidRPr="007356EE">
        <w:rPr>
          <w:sz w:val="22"/>
          <w:szCs w:val="22"/>
          <w:lang w:val="en-GB"/>
        </w:rPr>
        <w:t>and</w:t>
      </w:r>
    </w:p>
    <w:p w14:paraId="2AA42433" w14:textId="77777777" w:rsidR="00D91534" w:rsidRPr="007356EE" w:rsidRDefault="00D91534">
      <w:pPr>
        <w:pStyle w:val="Default"/>
        <w:jc w:val="center"/>
        <w:rPr>
          <w:b/>
          <w:sz w:val="22"/>
          <w:szCs w:val="22"/>
          <w:lang w:val="en-GB"/>
        </w:rPr>
      </w:pPr>
    </w:p>
    <w:p w14:paraId="760D8A7F" w14:textId="77777777" w:rsidR="00D91534" w:rsidRPr="007356EE" w:rsidRDefault="00D91534">
      <w:pPr>
        <w:pStyle w:val="Default"/>
        <w:jc w:val="center"/>
        <w:rPr>
          <w:b/>
          <w:sz w:val="22"/>
          <w:szCs w:val="22"/>
          <w:lang w:val="en-GB"/>
        </w:rPr>
      </w:pPr>
    </w:p>
    <w:p w14:paraId="00871F67" w14:textId="77777777" w:rsidR="00D91534" w:rsidRPr="007356EE" w:rsidRDefault="0067460A">
      <w:pPr>
        <w:pStyle w:val="Default"/>
        <w:jc w:val="center"/>
        <w:rPr>
          <w:b/>
          <w:iCs/>
          <w:sz w:val="22"/>
          <w:szCs w:val="22"/>
          <w:lang w:val="en-GB"/>
        </w:rPr>
      </w:pPr>
      <w:r w:rsidRPr="007356EE">
        <w:rPr>
          <w:b/>
          <w:sz w:val="22"/>
          <w:szCs w:val="22"/>
          <w:lang w:val="en-GB"/>
        </w:rPr>
        <w:t xml:space="preserve">The Technical University of </w:t>
      </w:r>
      <w:r w:rsidRPr="007356EE">
        <w:rPr>
          <w:b/>
          <w:iCs/>
          <w:sz w:val="22"/>
          <w:szCs w:val="22"/>
          <w:lang w:val="en-GB"/>
        </w:rPr>
        <w:t>Braunschweig</w:t>
      </w:r>
    </w:p>
    <w:p w14:paraId="5ACC703C" w14:textId="77777777" w:rsidR="00D91534" w:rsidRPr="007356EE" w:rsidRDefault="0067460A">
      <w:pPr>
        <w:pStyle w:val="Default"/>
        <w:jc w:val="center"/>
        <w:rPr>
          <w:b/>
          <w:sz w:val="22"/>
          <w:szCs w:val="22"/>
          <w:lang w:val="en-GB"/>
        </w:rPr>
      </w:pPr>
      <w:r w:rsidRPr="007356EE">
        <w:rPr>
          <w:b/>
          <w:sz w:val="22"/>
          <w:szCs w:val="22"/>
          <w:lang w:val="en-GB"/>
        </w:rPr>
        <w:t>(Subsequently referred to as “</w:t>
      </w:r>
      <w:r w:rsidRPr="007356EE">
        <w:rPr>
          <w:b/>
          <w:iCs/>
          <w:sz w:val="22"/>
          <w:szCs w:val="22"/>
          <w:lang w:val="en-GB"/>
        </w:rPr>
        <w:t>TU Braunschweig</w:t>
      </w:r>
      <w:r w:rsidRPr="007356EE">
        <w:rPr>
          <w:b/>
          <w:sz w:val="22"/>
          <w:szCs w:val="22"/>
          <w:lang w:val="en-GB"/>
        </w:rPr>
        <w:t>”)</w:t>
      </w:r>
    </w:p>
    <w:p w14:paraId="6FFA8204" w14:textId="77777777" w:rsidR="00D91534" w:rsidRPr="007356EE" w:rsidRDefault="0067460A">
      <w:pPr>
        <w:pStyle w:val="Default"/>
        <w:jc w:val="center"/>
        <w:rPr>
          <w:iCs/>
          <w:sz w:val="22"/>
          <w:szCs w:val="22"/>
          <w:lang w:val="en-GB"/>
        </w:rPr>
      </w:pPr>
      <w:proofErr w:type="spellStart"/>
      <w:r w:rsidRPr="007356EE">
        <w:rPr>
          <w:iCs/>
          <w:sz w:val="22"/>
          <w:szCs w:val="22"/>
          <w:lang w:val="en-GB"/>
        </w:rPr>
        <w:t>Universitätsplatz</w:t>
      </w:r>
      <w:proofErr w:type="spellEnd"/>
      <w:r w:rsidRPr="007356EE">
        <w:rPr>
          <w:iCs/>
          <w:sz w:val="22"/>
          <w:szCs w:val="22"/>
          <w:lang w:val="en-GB"/>
        </w:rPr>
        <w:t xml:space="preserve"> 2, 38106 Braunschweig, Germany</w:t>
      </w:r>
    </w:p>
    <w:p w14:paraId="785ABF0C" w14:textId="77777777" w:rsidR="00D91534" w:rsidRPr="007356EE" w:rsidRDefault="0067460A">
      <w:pPr>
        <w:pStyle w:val="Default"/>
        <w:jc w:val="center"/>
        <w:rPr>
          <w:sz w:val="22"/>
          <w:szCs w:val="22"/>
          <w:lang w:val="en-GB"/>
        </w:rPr>
      </w:pPr>
      <w:r w:rsidRPr="007356EE">
        <w:rPr>
          <w:sz w:val="22"/>
          <w:szCs w:val="22"/>
          <w:lang w:val="en-GB"/>
        </w:rPr>
        <w:t xml:space="preserve">represented by </w:t>
      </w:r>
      <w:r w:rsidRPr="007356EE">
        <w:rPr>
          <w:iCs/>
          <w:sz w:val="22"/>
          <w:szCs w:val="22"/>
          <w:lang w:val="en-GB"/>
        </w:rPr>
        <w:t>the President Prof. Angela ITTEL</w:t>
      </w:r>
    </w:p>
    <w:p w14:paraId="4C602944" w14:textId="77777777" w:rsidR="00D91534" w:rsidRPr="007356EE" w:rsidRDefault="00D91534">
      <w:pPr>
        <w:pStyle w:val="Default"/>
        <w:jc w:val="center"/>
        <w:rPr>
          <w:b/>
          <w:sz w:val="22"/>
          <w:szCs w:val="22"/>
          <w:lang w:val="en-GB"/>
        </w:rPr>
      </w:pPr>
    </w:p>
    <w:p w14:paraId="201C03ED" w14:textId="77777777" w:rsidR="00D91534" w:rsidRPr="007356EE" w:rsidRDefault="00D91534">
      <w:pPr>
        <w:pStyle w:val="Default"/>
        <w:jc w:val="both"/>
        <w:rPr>
          <w:sz w:val="22"/>
          <w:szCs w:val="22"/>
          <w:lang w:val="en-GB"/>
        </w:rPr>
      </w:pPr>
    </w:p>
    <w:p w14:paraId="6DCF55FD" w14:textId="77777777" w:rsidR="00D91534" w:rsidRPr="007356EE" w:rsidRDefault="0067460A">
      <w:pPr>
        <w:pStyle w:val="Default"/>
        <w:jc w:val="both"/>
        <w:rPr>
          <w:sz w:val="22"/>
          <w:szCs w:val="22"/>
          <w:lang w:val="en-GB"/>
        </w:rPr>
      </w:pPr>
      <w:r w:rsidRPr="007356EE">
        <w:rPr>
          <w:rFonts w:cs="Times New Roman"/>
          <w:color w:val="auto"/>
          <w:lang w:val="en-GB"/>
        </w:rPr>
        <w:t>hereinafter referred to as "the Parties".</w:t>
      </w:r>
    </w:p>
    <w:p w14:paraId="4622C245" w14:textId="77777777" w:rsidR="00D91534" w:rsidRPr="007356EE" w:rsidRDefault="00D91534">
      <w:pPr>
        <w:pStyle w:val="Default"/>
        <w:jc w:val="both"/>
        <w:rPr>
          <w:sz w:val="22"/>
          <w:szCs w:val="22"/>
          <w:lang w:val="en-GB"/>
        </w:rPr>
      </w:pPr>
    </w:p>
    <w:p w14:paraId="3E83B88B" w14:textId="77777777" w:rsidR="00D91534" w:rsidRPr="007356EE" w:rsidRDefault="0067460A">
      <w:pPr>
        <w:widowControl w:val="0"/>
        <w:jc w:val="both"/>
        <w:rPr>
          <w:lang w:val="en-US"/>
        </w:rPr>
      </w:pPr>
      <w:r w:rsidRPr="007356EE">
        <w:rPr>
          <w:lang w:val="en-US"/>
        </w:rPr>
        <w:t xml:space="preserve">In the awareness of the ever-increasing importance of international collaboration, </w:t>
      </w:r>
      <w:r w:rsidR="000E6339" w:rsidRPr="007356EE">
        <w:rPr>
          <w:lang w:val="en-US"/>
        </w:rPr>
        <w:t>particularly</w:t>
      </w:r>
      <w:r w:rsidRPr="007356EE">
        <w:rPr>
          <w:lang w:val="en-US"/>
        </w:rPr>
        <w:t xml:space="preserve"> in the training of our young academics, and through the trust we have gained over the past years in our long, close and successful cooperation, the </w:t>
      </w:r>
      <w:r w:rsidR="000E6339" w:rsidRPr="007356EE">
        <w:rPr>
          <w:lang w:val="en-US"/>
        </w:rPr>
        <w:t xml:space="preserve">Politecnico di Milano </w:t>
      </w:r>
      <w:r w:rsidRPr="007356EE">
        <w:rPr>
          <w:lang w:val="en-US"/>
        </w:rPr>
        <w:t xml:space="preserve">and the </w:t>
      </w:r>
      <w:proofErr w:type="spellStart"/>
      <w:r w:rsidRPr="007356EE">
        <w:rPr>
          <w:lang w:val="en-US"/>
        </w:rPr>
        <w:t>Technische</w:t>
      </w:r>
      <w:proofErr w:type="spellEnd"/>
      <w:r w:rsidRPr="007356EE">
        <w:rPr>
          <w:lang w:val="en-US"/>
        </w:rPr>
        <w:t xml:space="preserve"> Universität Braunschweig announce their intention to develop a framework to serve as the cornerstone for a shared doctoral program.</w:t>
      </w:r>
    </w:p>
    <w:p w14:paraId="5E4B806A" w14:textId="77777777" w:rsidR="00D91534" w:rsidRPr="007356EE" w:rsidRDefault="0067460A">
      <w:pPr>
        <w:widowControl w:val="0"/>
        <w:rPr>
          <w:lang w:val="en-US"/>
        </w:rPr>
      </w:pPr>
      <w:r w:rsidRPr="007356EE">
        <w:rPr>
          <w:lang w:val="en-US"/>
        </w:rPr>
        <w:t xml:space="preserve">Based on our positive experience in the implementation of common degrees within our partnership, we are convinced a dual-doctorate degree program is the appropriate advancement our cooperation.  The following proposal is intended to serve as a framework for the formulation of a future agreement. </w:t>
      </w:r>
    </w:p>
    <w:p w14:paraId="118A4D22" w14:textId="77777777" w:rsidR="00D91534" w:rsidRPr="007356EE" w:rsidRDefault="00D91534">
      <w:pPr>
        <w:widowControl w:val="0"/>
        <w:rPr>
          <w:lang w:val="en-US"/>
        </w:rPr>
      </w:pPr>
    </w:p>
    <w:p w14:paraId="01BDD70A" w14:textId="77777777" w:rsidR="00D91534" w:rsidRPr="007356EE" w:rsidRDefault="00D91534">
      <w:pPr>
        <w:widowControl w:val="0"/>
        <w:rPr>
          <w:spacing w:val="-5"/>
          <w:lang w:val="en-US" w:eastAsia="fr-FR"/>
        </w:rPr>
      </w:pPr>
    </w:p>
    <w:p w14:paraId="6AEF4B42" w14:textId="77777777" w:rsidR="00D91534" w:rsidRPr="007356EE" w:rsidRDefault="0067460A">
      <w:pPr>
        <w:pStyle w:val="Default"/>
        <w:jc w:val="both"/>
        <w:rPr>
          <w:color w:val="31319A"/>
          <w:sz w:val="22"/>
          <w:szCs w:val="22"/>
          <w:lang w:val="en-GB"/>
        </w:rPr>
      </w:pPr>
      <w:r w:rsidRPr="007356EE">
        <w:rPr>
          <w:b/>
          <w:bCs/>
          <w:color w:val="31319A"/>
          <w:sz w:val="22"/>
          <w:szCs w:val="22"/>
          <w:lang w:val="en-GB"/>
        </w:rPr>
        <w:t>§1 Objective</w:t>
      </w:r>
    </w:p>
    <w:p w14:paraId="79271EC2" w14:textId="77777777" w:rsidR="00D91534" w:rsidRPr="007356EE" w:rsidRDefault="00D91534">
      <w:pPr>
        <w:pStyle w:val="Default"/>
        <w:jc w:val="both"/>
        <w:rPr>
          <w:sz w:val="22"/>
          <w:szCs w:val="22"/>
          <w:lang w:val="en-GB"/>
        </w:rPr>
      </w:pPr>
    </w:p>
    <w:tbl>
      <w:tblPr>
        <w:tblpPr w:leftFromText="180" w:rightFromText="180" w:vertAnchor="text" w:tblpY="1"/>
        <w:tblW w:w="9072" w:type="dxa"/>
        <w:tblLook w:val="01E0" w:firstRow="1" w:lastRow="1" w:firstColumn="1" w:lastColumn="1" w:noHBand="0" w:noVBand="0"/>
      </w:tblPr>
      <w:tblGrid>
        <w:gridCol w:w="9072"/>
      </w:tblGrid>
      <w:tr w:rsidR="00D91534" w:rsidRPr="007356EE" w14:paraId="5589378D" w14:textId="77777777">
        <w:tc>
          <w:tcPr>
            <w:tcW w:w="9072" w:type="dxa"/>
            <w:shd w:val="clear" w:color="auto" w:fill="auto"/>
          </w:tcPr>
          <w:p w14:paraId="6CD3EC17" w14:textId="77777777" w:rsidR="00D91534" w:rsidRPr="007356EE" w:rsidRDefault="0067460A">
            <w:pPr>
              <w:widowControl w:val="0"/>
              <w:rPr>
                <w:rFonts w:ascii="Charter" w:hAnsi="Charter"/>
                <w:sz w:val="22"/>
                <w:lang w:val="en-GB"/>
              </w:rPr>
            </w:pPr>
            <w:r w:rsidRPr="007356EE">
              <w:rPr>
                <w:rFonts w:ascii="Charter" w:hAnsi="Charter"/>
                <w:sz w:val="22"/>
                <w:lang w:val="en-GB"/>
              </w:rPr>
              <w:t xml:space="preserve">A dual doctorate degree program is understood to be one program towards a doctorate degree with shared advisory roles and </w:t>
            </w:r>
          </w:p>
          <w:p w14:paraId="191512B0" w14:textId="77777777" w:rsidR="00D91534" w:rsidRPr="007356EE" w:rsidRDefault="0067460A">
            <w:pPr>
              <w:widowControl w:val="0"/>
              <w:numPr>
                <w:ilvl w:val="0"/>
                <w:numId w:val="16"/>
              </w:numPr>
              <w:rPr>
                <w:rFonts w:ascii="Charter" w:hAnsi="Charter"/>
                <w:sz w:val="22"/>
                <w:lang w:val="en-GB"/>
              </w:rPr>
            </w:pPr>
            <w:r w:rsidRPr="007356EE">
              <w:rPr>
                <w:rFonts w:ascii="Charter" w:hAnsi="Charter"/>
                <w:sz w:val="22"/>
                <w:lang w:val="en-GB"/>
              </w:rPr>
              <w:t>In which the dissertation is supervised by two advisors, one at each institution,</w:t>
            </w:r>
          </w:p>
          <w:p w14:paraId="587AA5CE" w14:textId="77777777" w:rsidR="00D91534" w:rsidRPr="007356EE" w:rsidRDefault="0067460A">
            <w:pPr>
              <w:widowControl w:val="0"/>
              <w:numPr>
                <w:ilvl w:val="0"/>
                <w:numId w:val="16"/>
              </w:numPr>
              <w:rPr>
                <w:rFonts w:ascii="Charter" w:hAnsi="Charter"/>
                <w:sz w:val="22"/>
                <w:lang w:val="en-GB"/>
              </w:rPr>
            </w:pPr>
            <w:r w:rsidRPr="007356EE">
              <w:rPr>
                <w:rFonts w:ascii="Charter" w:hAnsi="Charter"/>
                <w:sz w:val="22"/>
                <w:lang w:val="en-GB"/>
              </w:rPr>
              <w:t>In which those who complete this program will earn a single degree recognized by  both institutions</w:t>
            </w:r>
          </w:p>
          <w:p w14:paraId="7437AEB1" w14:textId="77777777" w:rsidR="00D91534" w:rsidRPr="007356EE" w:rsidRDefault="0067460A">
            <w:pPr>
              <w:widowControl w:val="0"/>
              <w:numPr>
                <w:ilvl w:val="0"/>
                <w:numId w:val="16"/>
              </w:numPr>
              <w:rPr>
                <w:rFonts w:ascii="Charter" w:hAnsi="Charter"/>
                <w:sz w:val="22"/>
                <w:lang w:val="en-GB"/>
              </w:rPr>
            </w:pPr>
            <w:r w:rsidRPr="007356EE">
              <w:rPr>
                <w:rFonts w:ascii="Charter" w:hAnsi="Charter"/>
                <w:sz w:val="22"/>
                <w:lang w:val="en-GB"/>
              </w:rPr>
              <w:t>which is subject to the laws of both countries, so for:</w:t>
            </w:r>
          </w:p>
          <w:p w14:paraId="1735BADC" w14:textId="77777777" w:rsidR="00D91534" w:rsidRPr="007356EE" w:rsidRDefault="000E6339">
            <w:pPr>
              <w:widowControl w:val="0"/>
              <w:numPr>
                <w:ilvl w:val="0"/>
                <w:numId w:val="16"/>
              </w:numPr>
              <w:rPr>
                <w:rFonts w:ascii="Charter" w:eastAsia="Calibri" w:hAnsi="Charter"/>
                <w:sz w:val="22"/>
                <w:lang w:val="en-GB" w:eastAsia="en-US"/>
              </w:rPr>
            </w:pPr>
            <w:r w:rsidRPr="007356EE">
              <w:rPr>
                <w:rFonts w:ascii="Charter" w:eastAsia="Calibri" w:hAnsi="Charter"/>
                <w:sz w:val="22"/>
                <w:lang w:val="fr-FR" w:eastAsia="en-US"/>
              </w:rPr>
              <w:t xml:space="preserve">Politecnico di Milano : </w:t>
            </w:r>
            <w:r w:rsidRPr="007356EE">
              <w:rPr>
                <w:rFonts w:ascii="Charter" w:eastAsia="Calibri" w:hAnsi="Charter"/>
                <w:sz w:val="22"/>
                <w:lang w:val="en-US" w:eastAsia="en-US"/>
              </w:rPr>
              <w:t>Ministerial Decree no. 45 of 08.02.2013;</w:t>
            </w:r>
            <w:r w:rsidRPr="007356EE">
              <w:rPr>
                <w:rFonts w:ascii="Charter" w:eastAsia="Calibri" w:hAnsi="Charter"/>
                <w:sz w:val="22"/>
                <w:lang w:val="en-GB" w:eastAsia="en-US"/>
              </w:rPr>
              <w:t xml:space="preserve"> Regulations on the Doctoral Research Program of the Politecnico di Milano</w:t>
            </w:r>
            <w:r w:rsidR="0067460A" w:rsidRPr="007356EE">
              <w:rPr>
                <w:rFonts w:ascii="Charter" w:eastAsia="Calibri" w:hAnsi="Charter"/>
                <w:sz w:val="22"/>
                <w:lang w:val="fr-FR" w:eastAsia="en-US"/>
              </w:rPr>
              <w:t xml:space="preserve"> </w:t>
            </w:r>
          </w:p>
          <w:p w14:paraId="034E3576" w14:textId="77777777" w:rsidR="00D91534" w:rsidRPr="007356EE" w:rsidRDefault="0067460A" w:rsidP="000E6339">
            <w:pPr>
              <w:widowControl w:val="0"/>
              <w:numPr>
                <w:ilvl w:val="0"/>
                <w:numId w:val="16"/>
              </w:numPr>
              <w:rPr>
                <w:rFonts w:ascii="Charter" w:eastAsia="Calibri" w:hAnsi="Charter"/>
                <w:sz w:val="22"/>
                <w:lang w:val="en-GB" w:eastAsia="en-US"/>
              </w:rPr>
            </w:pPr>
            <w:r w:rsidRPr="007356EE">
              <w:rPr>
                <w:rFonts w:ascii="Charter" w:hAnsi="Charter"/>
                <w:sz w:val="22"/>
                <w:lang w:val="en-GB"/>
              </w:rPr>
              <w:t>and for Germany: Recommendations of the HRK concerning transnational doctorate programs from October 2005.</w:t>
            </w:r>
          </w:p>
          <w:p w14:paraId="6A65916F" w14:textId="77777777" w:rsidR="000E6339" w:rsidRPr="007356EE" w:rsidRDefault="000E6339" w:rsidP="000E6339">
            <w:pPr>
              <w:widowControl w:val="0"/>
              <w:ind w:left="360"/>
              <w:rPr>
                <w:rFonts w:ascii="Charter" w:eastAsia="Calibri" w:hAnsi="Charter"/>
                <w:sz w:val="22"/>
                <w:lang w:val="en-GB" w:eastAsia="en-US"/>
              </w:rPr>
            </w:pPr>
          </w:p>
        </w:tc>
      </w:tr>
      <w:tr w:rsidR="00D91534" w:rsidRPr="007356EE" w14:paraId="24F9A0F1" w14:textId="77777777">
        <w:tc>
          <w:tcPr>
            <w:tcW w:w="9072" w:type="dxa"/>
            <w:shd w:val="clear" w:color="auto" w:fill="auto"/>
          </w:tcPr>
          <w:p w14:paraId="0C25001B"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lastRenderedPageBreak/>
              <w:t>§2 Acceptance</w:t>
            </w:r>
          </w:p>
          <w:p w14:paraId="0281C429" w14:textId="77777777" w:rsidR="00D91534" w:rsidRPr="007356EE" w:rsidRDefault="00D91534">
            <w:pPr>
              <w:pStyle w:val="Default"/>
              <w:jc w:val="both"/>
              <w:rPr>
                <w:color w:val="31319A"/>
                <w:sz w:val="22"/>
                <w:szCs w:val="22"/>
                <w:lang w:val="en-GB"/>
              </w:rPr>
            </w:pPr>
          </w:p>
          <w:p w14:paraId="474EFCC9"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The acceptance into the doctorate programs is administered individually and independently by selection committees at each institution, in consensus with the regulations of the institution and after consultation with the two affected scientific advisors. (art.7)</w:t>
            </w:r>
          </w:p>
          <w:p w14:paraId="3C448516" w14:textId="77777777" w:rsidR="00D91534" w:rsidRPr="007356EE" w:rsidRDefault="00D91534">
            <w:pPr>
              <w:widowControl w:val="0"/>
              <w:jc w:val="both"/>
              <w:rPr>
                <w:rFonts w:ascii="Charter" w:eastAsia="Calibri" w:hAnsi="Charter"/>
                <w:sz w:val="22"/>
                <w:lang w:val="en-GB" w:eastAsia="en-US"/>
              </w:rPr>
            </w:pPr>
          </w:p>
          <w:p w14:paraId="2BB27436" w14:textId="77777777" w:rsidR="000E6339"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Each institution provides information to its partner about the acceptance process.</w:t>
            </w:r>
          </w:p>
          <w:p w14:paraId="7820FF93" w14:textId="77777777" w:rsidR="000E6339" w:rsidRPr="007356EE" w:rsidRDefault="000E6339">
            <w:pPr>
              <w:widowControl w:val="0"/>
              <w:jc w:val="both"/>
              <w:rPr>
                <w:rFonts w:ascii="Charter" w:eastAsia="Calibri" w:hAnsi="Charter"/>
                <w:sz w:val="22"/>
                <w:lang w:val="en-US" w:eastAsia="en-US"/>
              </w:rPr>
            </w:pPr>
          </w:p>
        </w:tc>
      </w:tr>
      <w:tr w:rsidR="00D91534" w:rsidRPr="007356EE" w14:paraId="53DF922D" w14:textId="77777777">
        <w:tc>
          <w:tcPr>
            <w:tcW w:w="9072" w:type="dxa"/>
            <w:shd w:val="clear" w:color="auto" w:fill="auto"/>
          </w:tcPr>
          <w:p w14:paraId="179FFED1"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§3 Language</w:t>
            </w:r>
          </w:p>
          <w:p w14:paraId="6FFF536B" w14:textId="77777777" w:rsidR="00D91534" w:rsidRPr="007356EE" w:rsidRDefault="00D91534">
            <w:pPr>
              <w:pStyle w:val="Default"/>
              <w:jc w:val="both"/>
              <w:rPr>
                <w:b/>
                <w:bCs/>
                <w:color w:val="31319A"/>
                <w:sz w:val="22"/>
                <w:szCs w:val="22"/>
                <w:lang w:val="en-GB"/>
              </w:rPr>
            </w:pPr>
          </w:p>
          <w:p w14:paraId="31301241" w14:textId="77777777" w:rsidR="00D91534" w:rsidRPr="007356EE" w:rsidRDefault="0067460A">
            <w:pPr>
              <w:widowControl w:val="0"/>
              <w:jc w:val="both"/>
              <w:rPr>
                <w:rFonts w:ascii="Charter" w:eastAsia="Calibri" w:hAnsi="Charter"/>
                <w:b/>
                <w:sz w:val="22"/>
                <w:lang w:val="en-US" w:eastAsia="en-US"/>
              </w:rPr>
            </w:pPr>
            <w:r w:rsidRPr="007356EE">
              <w:rPr>
                <w:rFonts w:ascii="Charter" w:eastAsia="Calibri" w:hAnsi="Charter"/>
                <w:sz w:val="22"/>
                <w:lang w:val="en-US" w:eastAsia="en-US"/>
              </w:rPr>
              <w:t>The candidate should have a good command of the language of instruction at the home and host institution, or at least of one of each, and English.  If latter case the candidate is required to acquire a minimal fluency in the lacking language in a reasonable amount of time.  To this end, both institutions commit to give the candidate access to relevant language courses.</w:t>
            </w:r>
          </w:p>
          <w:p w14:paraId="1C390E20" w14:textId="77777777" w:rsidR="00D91534" w:rsidRPr="007356EE" w:rsidRDefault="00D91534">
            <w:pPr>
              <w:widowControl w:val="0"/>
              <w:rPr>
                <w:rFonts w:ascii="Charter" w:eastAsia="Calibri" w:hAnsi="Charter"/>
                <w:b/>
                <w:sz w:val="22"/>
                <w:lang w:val="en-US" w:eastAsia="en-US"/>
              </w:rPr>
            </w:pPr>
          </w:p>
        </w:tc>
      </w:tr>
      <w:tr w:rsidR="00D91534" w:rsidRPr="007356EE" w14:paraId="1EEFE4BA" w14:textId="77777777">
        <w:tc>
          <w:tcPr>
            <w:tcW w:w="9072" w:type="dxa"/>
            <w:shd w:val="clear" w:color="auto" w:fill="auto"/>
          </w:tcPr>
          <w:p w14:paraId="42F7BD29"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§4 Duration of doctoral program</w:t>
            </w:r>
          </w:p>
          <w:p w14:paraId="3520AE8E" w14:textId="77777777" w:rsidR="00D91534" w:rsidRPr="007356EE" w:rsidRDefault="00D91534">
            <w:pPr>
              <w:widowControl w:val="0"/>
              <w:tabs>
                <w:tab w:val="num" w:pos="540"/>
              </w:tabs>
              <w:ind w:left="540"/>
              <w:rPr>
                <w:rFonts w:ascii="Charter" w:eastAsia="Calibri" w:hAnsi="Charter"/>
                <w:b/>
                <w:sz w:val="22"/>
                <w:lang w:val="en-US" w:eastAsia="en-US"/>
              </w:rPr>
            </w:pPr>
          </w:p>
          <w:p w14:paraId="41D53D33"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The duration of the doctoral program is determined by the requirements of the respective departments/schools, but is a minimum of three years from the date of the program start.  In the case of exceptional, outstanding or distinctly motivated candidates, this may, however, be shorter or longer. In the event the specified objectives of a dual doctorate degree program are not fulfilled in the determined time-frame, the length of dual program can be extended by mutual consent of the both institutions.</w:t>
            </w:r>
          </w:p>
          <w:p w14:paraId="2C99AF89" w14:textId="77777777" w:rsidR="00D91534" w:rsidRPr="007356EE" w:rsidRDefault="00D91534">
            <w:pPr>
              <w:widowControl w:val="0"/>
              <w:rPr>
                <w:rFonts w:ascii="Charter" w:eastAsia="Calibri" w:hAnsi="Charter"/>
                <w:b/>
                <w:sz w:val="22"/>
                <w:lang w:val="en-US" w:eastAsia="en-US"/>
              </w:rPr>
            </w:pPr>
          </w:p>
        </w:tc>
      </w:tr>
      <w:tr w:rsidR="00D91534" w:rsidRPr="007356EE" w14:paraId="600E85AA" w14:textId="77777777">
        <w:tc>
          <w:tcPr>
            <w:tcW w:w="9072" w:type="dxa"/>
            <w:shd w:val="clear" w:color="auto" w:fill="auto"/>
          </w:tcPr>
          <w:p w14:paraId="742671C2"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§5 Residence</w:t>
            </w:r>
          </w:p>
          <w:p w14:paraId="01E7168B" w14:textId="77777777" w:rsidR="00D91534" w:rsidRPr="007356EE" w:rsidRDefault="00D91534">
            <w:pPr>
              <w:widowControl w:val="0"/>
              <w:tabs>
                <w:tab w:val="num" w:pos="540"/>
              </w:tabs>
              <w:ind w:left="540"/>
              <w:rPr>
                <w:rFonts w:ascii="Charter" w:eastAsia="Calibri" w:hAnsi="Charter"/>
                <w:b/>
                <w:sz w:val="22"/>
                <w:lang w:val="en-US" w:eastAsia="en-US"/>
              </w:rPr>
            </w:pPr>
          </w:p>
          <w:p w14:paraId="195877BD" w14:textId="77777777" w:rsidR="00D91534" w:rsidRPr="007356EE" w:rsidRDefault="0067460A">
            <w:pPr>
              <w:widowControl w:val="0"/>
              <w:jc w:val="both"/>
              <w:rPr>
                <w:rFonts w:ascii="Charter" w:hAnsi="Charter"/>
                <w:sz w:val="22"/>
                <w:lang w:val="en-GB"/>
              </w:rPr>
            </w:pPr>
            <w:r w:rsidRPr="007356EE">
              <w:rPr>
                <w:rFonts w:ascii="Charter" w:hAnsi="Charter"/>
                <w:sz w:val="22"/>
                <w:lang w:val="en-GB"/>
              </w:rPr>
              <w:t xml:space="preserve">The research and related coursework will be completed at both institutions in alternating periods. The periods of time spent in both institutions should be of similar length. </w:t>
            </w:r>
          </w:p>
          <w:p w14:paraId="71F64BB3" w14:textId="77777777" w:rsidR="00D91534" w:rsidRPr="007356EE" w:rsidRDefault="00D91534">
            <w:pPr>
              <w:widowControl w:val="0"/>
              <w:jc w:val="both"/>
              <w:rPr>
                <w:rFonts w:ascii="Charter" w:hAnsi="Charter"/>
                <w:sz w:val="22"/>
                <w:lang w:val="en-GB"/>
              </w:rPr>
            </w:pPr>
          </w:p>
          <w:p w14:paraId="10C31228" w14:textId="77777777" w:rsidR="00D91534" w:rsidRPr="007356EE" w:rsidRDefault="0067460A">
            <w:pPr>
              <w:widowControl w:val="0"/>
              <w:jc w:val="both"/>
              <w:rPr>
                <w:rFonts w:ascii="Charter" w:hAnsi="Charter"/>
                <w:sz w:val="22"/>
                <w:lang w:val="en-US"/>
              </w:rPr>
            </w:pPr>
            <w:r w:rsidRPr="007356EE">
              <w:rPr>
                <w:rFonts w:ascii="Charter" w:hAnsi="Charter"/>
                <w:sz w:val="22"/>
                <w:lang w:val="en-GB"/>
              </w:rPr>
              <w:t>Visits to or residences at institutions other than the host institutions can be allowed in the event these are beneficial to the doctoral process.</w:t>
            </w:r>
          </w:p>
          <w:p w14:paraId="269C5363" w14:textId="77777777" w:rsidR="00D91534" w:rsidRPr="007356EE" w:rsidRDefault="00D91534">
            <w:pPr>
              <w:widowControl w:val="0"/>
              <w:jc w:val="both"/>
              <w:rPr>
                <w:rFonts w:ascii="Charter" w:hAnsi="Charter"/>
                <w:sz w:val="22"/>
                <w:lang w:val="en-US"/>
              </w:rPr>
            </w:pPr>
          </w:p>
          <w:p w14:paraId="5637C20C" w14:textId="77777777" w:rsidR="00D91534" w:rsidRPr="007356EE" w:rsidRDefault="0067460A">
            <w:pPr>
              <w:widowControl w:val="0"/>
              <w:jc w:val="both"/>
              <w:rPr>
                <w:rFonts w:ascii="Charter" w:hAnsi="Charter"/>
                <w:sz w:val="22"/>
                <w:lang w:val="en-GB"/>
              </w:rPr>
            </w:pPr>
            <w:r w:rsidRPr="007356EE">
              <w:rPr>
                <w:rFonts w:ascii="Charter" w:hAnsi="Charter"/>
                <w:sz w:val="22"/>
                <w:lang w:val="en-US"/>
              </w:rPr>
              <w:t>The</w:t>
            </w:r>
            <w:r w:rsidRPr="007356EE">
              <w:rPr>
                <w:rFonts w:ascii="Charter" w:hAnsi="Charter"/>
                <w:sz w:val="22"/>
                <w:lang w:val="en-GB"/>
              </w:rPr>
              <w:t xml:space="preserve"> </w:t>
            </w:r>
            <w:r w:rsidRPr="007356EE">
              <w:rPr>
                <w:rFonts w:ascii="Charter" w:hAnsi="Charter"/>
                <w:sz w:val="22"/>
                <w:lang w:val="en-US"/>
              </w:rPr>
              <w:t>organization</w:t>
            </w:r>
            <w:r w:rsidRPr="007356EE">
              <w:rPr>
                <w:rFonts w:ascii="Charter" w:hAnsi="Charter"/>
                <w:sz w:val="22"/>
                <w:lang w:val="en-GB"/>
              </w:rPr>
              <w:t xml:space="preserve"> of these visits or residencies will be arranged mutually by the scientific advisors (art. 7).</w:t>
            </w:r>
          </w:p>
          <w:p w14:paraId="341C3255" w14:textId="77777777" w:rsidR="00D91534" w:rsidRPr="007356EE" w:rsidRDefault="00D91534">
            <w:pPr>
              <w:widowControl w:val="0"/>
              <w:rPr>
                <w:rFonts w:ascii="Charter" w:eastAsia="Calibri" w:hAnsi="Charter"/>
                <w:b/>
                <w:sz w:val="22"/>
                <w:lang w:val="en-US" w:eastAsia="en-US"/>
              </w:rPr>
            </w:pPr>
          </w:p>
          <w:p w14:paraId="38C3B6E7" w14:textId="77777777" w:rsidR="00D91534" w:rsidRPr="007356EE" w:rsidRDefault="0067460A">
            <w:pPr>
              <w:widowControl w:val="0"/>
              <w:rPr>
                <w:rFonts w:ascii="Charter" w:hAnsi="Charter"/>
                <w:sz w:val="22"/>
                <w:lang w:val="en-GB"/>
              </w:rPr>
            </w:pPr>
            <w:r w:rsidRPr="007356EE">
              <w:rPr>
                <w:rFonts w:ascii="Charter" w:hAnsi="Charter"/>
                <w:sz w:val="22"/>
                <w:lang w:val="en-GB"/>
              </w:rPr>
              <w:t>Under special circumstances, agreed by the two Institutions, a minimum period of one year at each Institution is admissible, possibly including visits to or residences at institutions other than the host institutions.</w:t>
            </w:r>
          </w:p>
          <w:p w14:paraId="474C9575" w14:textId="77777777" w:rsidR="00D91534" w:rsidRPr="007356EE" w:rsidRDefault="00D91534">
            <w:pPr>
              <w:widowControl w:val="0"/>
              <w:rPr>
                <w:rFonts w:ascii="Charter" w:eastAsia="Calibri" w:hAnsi="Charter"/>
                <w:b/>
                <w:sz w:val="22"/>
                <w:lang w:val="en-US" w:eastAsia="en-US"/>
              </w:rPr>
            </w:pPr>
          </w:p>
        </w:tc>
      </w:tr>
      <w:tr w:rsidR="00D91534" w:rsidRPr="007356EE" w14:paraId="108F0C3E" w14:textId="77777777">
        <w:tc>
          <w:tcPr>
            <w:tcW w:w="9072" w:type="dxa"/>
            <w:shd w:val="clear" w:color="auto" w:fill="auto"/>
          </w:tcPr>
          <w:p w14:paraId="282AB4A2"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§6Matriculation and Fees</w:t>
            </w:r>
          </w:p>
          <w:p w14:paraId="09607795" w14:textId="77777777" w:rsidR="00D91534" w:rsidRPr="007356EE" w:rsidRDefault="00D91534">
            <w:pPr>
              <w:widowControl w:val="0"/>
              <w:tabs>
                <w:tab w:val="num" w:pos="540"/>
              </w:tabs>
              <w:ind w:left="540"/>
              <w:rPr>
                <w:rFonts w:ascii="Charter" w:eastAsia="Calibri" w:hAnsi="Charter"/>
                <w:b/>
                <w:sz w:val="22"/>
                <w:lang w:val="en-US" w:eastAsia="en-US"/>
              </w:rPr>
            </w:pPr>
          </w:p>
          <w:p w14:paraId="54D8429B" w14:textId="77777777" w:rsidR="00D91534" w:rsidRPr="007356EE" w:rsidRDefault="0067460A">
            <w:pPr>
              <w:widowControl w:val="0"/>
              <w:rPr>
                <w:rFonts w:ascii="Charter" w:eastAsia="Calibri" w:hAnsi="Charter"/>
                <w:sz w:val="22"/>
                <w:lang w:val="en-US" w:eastAsia="en-US"/>
              </w:rPr>
            </w:pPr>
            <w:r w:rsidRPr="007356EE">
              <w:rPr>
                <w:rFonts w:ascii="Charter" w:eastAsia="Calibri" w:hAnsi="Charter"/>
                <w:sz w:val="22"/>
                <w:lang w:val="en-US" w:eastAsia="en-US"/>
              </w:rPr>
              <w:t>The candidate must be matriculated at both institutions throughout the dual doctorate degree program.  However, matriculation fees or tuition are to be paid by the candidate only at his or her home institution. Matriculation fees can be waived by both Institutions in special circumstances, to be agreed for each candidate. The host institution may charge administrative fees, which cannot be waived.</w:t>
            </w:r>
          </w:p>
          <w:p w14:paraId="078005FC" w14:textId="77777777" w:rsidR="00D91534" w:rsidRPr="007356EE" w:rsidRDefault="00D91534">
            <w:pPr>
              <w:widowControl w:val="0"/>
              <w:rPr>
                <w:rFonts w:ascii="Charter" w:eastAsia="Calibri" w:hAnsi="Charter"/>
                <w:sz w:val="22"/>
                <w:lang w:val="en-US" w:eastAsia="en-US"/>
              </w:rPr>
            </w:pPr>
          </w:p>
          <w:p w14:paraId="55724792" w14:textId="77777777" w:rsidR="00D91534" w:rsidRPr="007356EE" w:rsidRDefault="00D91534">
            <w:pPr>
              <w:widowControl w:val="0"/>
              <w:rPr>
                <w:rFonts w:ascii="Charter" w:eastAsia="Calibri" w:hAnsi="Charter"/>
                <w:sz w:val="22"/>
                <w:lang w:val="en-US" w:eastAsia="en-US"/>
              </w:rPr>
            </w:pPr>
          </w:p>
          <w:p w14:paraId="1C30A0A1" w14:textId="77777777" w:rsidR="00D91534" w:rsidRPr="007356EE" w:rsidRDefault="00D91534">
            <w:pPr>
              <w:widowControl w:val="0"/>
              <w:rPr>
                <w:rFonts w:ascii="Charter" w:eastAsia="Calibri" w:hAnsi="Charter"/>
                <w:sz w:val="22"/>
                <w:lang w:val="en-US" w:eastAsia="en-US"/>
              </w:rPr>
            </w:pPr>
          </w:p>
        </w:tc>
      </w:tr>
      <w:tr w:rsidR="00D91534" w:rsidRPr="007356EE" w14:paraId="572BE25C" w14:textId="77777777">
        <w:tc>
          <w:tcPr>
            <w:tcW w:w="9072" w:type="dxa"/>
            <w:shd w:val="clear" w:color="auto" w:fill="auto"/>
          </w:tcPr>
          <w:p w14:paraId="5AD57280"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lastRenderedPageBreak/>
              <w:t>§7 Advisors</w:t>
            </w:r>
          </w:p>
          <w:p w14:paraId="49967962" w14:textId="77777777" w:rsidR="00D91534" w:rsidRPr="007356EE" w:rsidRDefault="00D91534">
            <w:pPr>
              <w:pStyle w:val="Default"/>
              <w:jc w:val="both"/>
              <w:rPr>
                <w:b/>
                <w:bCs/>
                <w:color w:val="31319A"/>
                <w:sz w:val="22"/>
                <w:szCs w:val="22"/>
                <w:lang w:val="en-GB"/>
              </w:rPr>
            </w:pPr>
          </w:p>
          <w:p w14:paraId="2CBB791F" w14:textId="77777777" w:rsidR="00D91534" w:rsidRPr="007356EE" w:rsidRDefault="0067460A">
            <w:pPr>
              <w:widowControl w:val="0"/>
              <w:jc w:val="both"/>
              <w:rPr>
                <w:rFonts w:ascii="Charter" w:eastAsia="Calibri" w:hAnsi="Charter"/>
                <w:sz w:val="22"/>
                <w:lang w:val="en-GB" w:eastAsia="en-US"/>
              </w:rPr>
            </w:pPr>
            <w:r w:rsidRPr="007356EE">
              <w:rPr>
                <w:rFonts w:ascii="Charter" w:eastAsia="Calibri" w:hAnsi="Charter"/>
                <w:sz w:val="22"/>
                <w:lang w:val="en-US" w:eastAsia="en-US"/>
              </w:rPr>
              <w:t>Each institution will name a professor or a member of the institution, eligible to serve as doctoral advisor, to be the candidate’s doctoral advisor.  The candidate will turn to the advisor for counseling and support during his or her residency at each respective institution.  Both advisors will mutually take on the task as scientific advisors and provide the candidate and are responsible for his or her doctoral preparation and research activities.  The candidate will receive direct advice and assistance from the advisor in the institution where he or she is in residence.</w:t>
            </w:r>
          </w:p>
          <w:p w14:paraId="2F226FE8" w14:textId="77777777" w:rsidR="00D91534" w:rsidRPr="007356EE" w:rsidRDefault="00D91534">
            <w:pPr>
              <w:widowControl w:val="0"/>
              <w:rPr>
                <w:rFonts w:ascii="Charter" w:eastAsia="Calibri" w:hAnsi="Charter"/>
                <w:b/>
                <w:sz w:val="22"/>
                <w:lang w:val="en-US" w:eastAsia="en-US"/>
              </w:rPr>
            </w:pPr>
          </w:p>
        </w:tc>
      </w:tr>
      <w:tr w:rsidR="00D91534" w:rsidRPr="007356EE" w14:paraId="617D7622" w14:textId="77777777">
        <w:tc>
          <w:tcPr>
            <w:tcW w:w="9072" w:type="dxa"/>
            <w:shd w:val="clear" w:color="auto" w:fill="auto"/>
          </w:tcPr>
          <w:p w14:paraId="4997BD69"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§8 Attendance of classes and lectures</w:t>
            </w:r>
          </w:p>
          <w:p w14:paraId="5D4A44C0" w14:textId="77777777" w:rsidR="00D91534" w:rsidRPr="007356EE" w:rsidRDefault="00D91534">
            <w:pPr>
              <w:widowControl w:val="0"/>
              <w:tabs>
                <w:tab w:val="num" w:pos="540"/>
              </w:tabs>
              <w:ind w:left="540"/>
              <w:rPr>
                <w:rFonts w:ascii="Charter" w:eastAsia="Calibri" w:hAnsi="Charter"/>
                <w:b/>
                <w:sz w:val="22"/>
                <w:lang w:val="en-US" w:eastAsia="en-US"/>
              </w:rPr>
            </w:pPr>
          </w:p>
          <w:p w14:paraId="053C7144"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During the doctoral program’s duration, the candidate will dedicate himself or herself primarily to research activities and the preparation of the dissertation.  The attendance of classes or lectures, at the appropriate level, for which credit points are earned, may be required, according to the rules of the relevant department/school or doctoral seminar.</w:t>
            </w:r>
          </w:p>
          <w:p w14:paraId="7AD1E650" w14:textId="77777777" w:rsidR="00D91534" w:rsidRPr="007356EE" w:rsidRDefault="00D91534">
            <w:pPr>
              <w:widowControl w:val="0"/>
              <w:rPr>
                <w:rFonts w:ascii="Charter" w:eastAsia="Calibri" w:hAnsi="Charter"/>
                <w:b/>
                <w:sz w:val="22"/>
                <w:lang w:val="en-US" w:eastAsia="en-US"/>
              </w:rPr>
            </w:pPr>
          </w:p>
        </w:tc>
      </w:tr>
      <w:tr w:rsidR="00D91534" w:rsidRPr="007356EE" w14:paraId="030EF6B7" w14:textId="77777777">
        <w:tc>
          <w:tcPr>
            <w:tcW w:w="9072" w:type="dxa"/>
            <w:shd w:val="clear" w:color="auto" w:fill="auto"/>
          </w:tcPr>
          <w:p w14:paraId="2529E5EC"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§9Progress report/intermediate exam</w:t>
            </w:r>
          </w:p>
          <w:p w14:paraId="536653F8" w14:textId="77777777" w:rsidR="00D91534" w:rsidRPr="007356EE" w:rsidRDefault="00D91534">
            <w:pPr>
              <w:pStyle w:val="Default"/>
              <w:jc w:val="both"/>
              <w:rPr>
                <w:b/>
                <w:bCs/>
                <w:color w:val="31319A"/>
                <w:sz w:val="22"/>
                <w:szCs w:val="22"/>
                <w:lang w:val="en-GB"/>
              </w:rPr>
            </w:pPr>
          </w:p>
          <w:p w14:paraId="17B024A4" w14:textId="77777777" w:rsidR="00D91534" w:rsidRPr="007356EE" w:rsidRDefault="0067460A">
            <w:pPr>
              <w:widowControl w:val="0"/>
              <w:rPr>
                <w:rFonts w:ascii="Charter" w:eastAsia="Calibri" w:hAnsi="Charter"/>
                <w:sz w:val="22"/>
                <w:lang w:val="en-US" w:eastAsia="en-US"/>
              </w:rPr>
            </w:pPr>
            <w:r w:rsidRPr="007356EE">
              <w:rPr>
                <w:rFonts w:ascii="Charter" w:eastAsia="Calibri" w:hAnsi="Charter"/>
                <w:sz w:val="22"/>
                <w:lang w:val="en-US" w:eastAsia="en-US"/>
              </w:rPr>
              <w:t>Each institution will individually assess the progress of the candidate, either yearly, or in previously agreed-upon intervals, and report the result of this assessment to the other institution.</w:t>
            </w:r>
          </w:p>
          <w:p w14:paraId="5B7A6F5C" w14:textId="77777777" w:rsidR="00D91534" w:rsidRPr="007356EE" w:rsidRDefault="00D91534">
            <w:pPr>
              <w:widowControl w:val="0"/>
              <w:rPr>
                <w:rFonts w:ascii="Charter" w:eastAsia="Calibri" w:hAnsi="Charter"/>
                <w:b/>
                <w:sz w:val="22"/>
                <w:lang w:val="en-US" w:eastAsia="en-US"/>
              </w:rPr>
            </w:pPr>
          </w:p>
        </w:tc>
      </w:tr>
      <w:tr w:rsidR="00D91534" w:rsidRPr="007356EE" w14:paraId="65707CDF" w14:textId="77777777">
        <w:tc>
          <w:tcPr>
            <w:tcW w:w="9072" w:type="dxa"/>
            <w:shd w:val="clear" w:color="auto" w:fill="auto"/>
          </w:tcPr>
          <w:p w14:paraId="701B793C"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§10 Defence</w:t>
            </w:r>
          </w:p>
          <w:p w14:paraId="6906D9D3" w14:textId="77777777" w:rsidR="00D91534" w:rsidRPr="007356EE" w:rsidRDefault="00D91534">
            <w:pPr>
              <w:widowControl w:val="0"/>
              <w:tabs>
                <w:tab w:val="num" w:pos="540"/>
              </w:tabs>
              <w:ind w:left="540"/>
              <w:rPr>
                <w:rFonts w:ascii="Charter" w:eastAsia="Calibri" w:hAnsi="Charter"/>
                <w:b/>
                <w:sz w:val="22"/>
                <w:lang w:val="en-US" w:eastAsia="en-US"/>
              </w:rPr>
            </w:pPr>
          </w:p>
          <w:p w14:paraId="46DF5B21"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Upon successful completion of the dual doctorate degree program and the fulfillment of all the concomitant requirements (Credits earned and successful review of the dissertation by the doctoral committee), and after the dissertational defense (according to discipline) the candidate will receive the  title of</w:t>
            </w:r>
          </w:p>
          <w:p w14:paraId="01B7D4E9"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Dr.-</w:t>
            </w:r>
            <w:proofErr w:type="gramStart"/>
            <w:r w:rsidRPr="007356EE">
              <w:rPr>
                <w:rFonts w:ascii="Charter" w:eastAsia="Calibri" w:hAnsi="Charter"/>
                <w:sz w:val="22"/>
                <w:lang w:val="en-US" w:eastAsia="en-US"/>
              </w:rPr>
              <w:t>Ing./</w:t>
            </w:r>
            <w:proofErr w:type="gramEnd"/>
            <w:r w:rsidRPr="007356EE">
              <w:rPr>
                <w:rFonts w:ascii="Charter" w:eastAsia="Calibri" w:hAnsi="Charter"/>
                <w:sz w:val="22"/>
                <w:lang w:val="en-US" w:eastAsia="en-US"/>
              </w:rPr>
              <w:t xml:space="preserve">Dr. </w:t>
            </w:r>
            <w:proofErr w:type="spellStart"/>
            <w:r w:rsidRPr="007356EE">
              <w:rPr>
                <w:rFonts w:ascii="Charter" w:eastAsia="Calibri" w:hAnsi="Charter"/>
                <w:sz w:val="22"/>
                <w:lang w:val="en-US" w:eastAsia="en-US"/>
              </w:rPr>
              <w:t>rer.nat</w:t>
            </w:r>
            <w:proofErr w:type="spellEnd"/>
            <w:r w:rsidRPr="007356EE">
              <w:rPr>
                <w:rFonts w:ascii="Charter" w:eastAsia="Calibri" w:hAnsi="Charter"/>
                <w:sz w:val="22"/>
                <w:lang w:val="en-US" w:eastAsia="en-US"/>
              </w:rPr>
              <w:t xml:space="preserve">./Dr. Phil/Dr. </w:t>
            </w:r>
            <w:proofErr w:type="spellStart"/>
            <w:r w:rsidRPr="007356EE">
              <w:rPr>
                <w:rFonts w:ascii="Charter" w:eastAsia="Calibri" w:hAnsi="Charter"/>
                <w:sz w:val="22"/>
                <w:lang w:val="en-US" w:eastAsia="en-US"/>
              </w:rPr>
              <w:t>Rer.pol</w:t>
            </w:r>
            <w:proofErr w:type="spellEnd"/>
            <w:r w:rsidRPr="007356EE">
              <w:rPr>
                <w:rFonts w:ascii="Charter" w:eastAsia="Calibri" w:hAnsi="Charter"/>
                <w:sz w:val="22"/>
                <w:lang w:val="en-US" w:eastAsia="en-US"/>
              </w:rPr>
              <w:t xml:space="preserve">. from the </w:t>
            </w:r>
            <w:proofErr w:type="spellStart"/>
            <w:r w:rsidRPr="007356EE">
              <w:rPr>
                <w:rFonts w:ascii="Charter" w:eastAsia="Calibri" w:hAnsi="Charter"/>
                <w:sz w:val="22"/>
                <w:lang w:val="en-US" w:eastAsia="en-US"/>
              </w:rPr>
              <w:t>Technische</w:t>
            </w:r>
            <w:proofErr w:type="spellEnd"/>
            <w:r w:rsidRPr="007356EE">
              <w:rPr>
                <w:rFonts w:ascii="Charter" w:eastAsia="Calibri" w:hAnsi="Charter"/>
                <w:sz w:val="22"/>
                <w:lang w:val="en-US" w:eastAsia="en-US"/>
              </w:rPr>
              <w:t xml:space="preserve"> Universität Braunschweig </w:t>
            </w:r>
            <w:proofErr w:type="gramStart"/>
            <w:r w:rsidRPr="007356EE">
              <w:rPr>
                <w:rFonts w:ascii="Charter" w:eastAsia="Calibri" w:hAnsi="Charter"/>
                <w:sz w:val="22"/>
                <w:lang w:val="en-US" w:eastAsia="en-US"/>
              </w:rPr>
              <w:t xml:space="preserve">and </w:t>
            </w:r>
            <w:r w:rsidR="00856D88" w:rsidRPr="007356EE">
              <w:rPr>
                <w:rFonts w:ascii="Charter" w:eastAsia="Calibri" w:hAnsi="Charter"/>
                <w:sz w:val="22"/>
                <w:lang w:val="en-US" w:eastAsia="en-US"/>
              </w:rPr>
              <w:t xml:space="preserve"> title</w:t>
            </w:r>
            <w:proofErr w:type="gramEnd"/>
            <w:r w:rsidR="00856D88" w:rsidRPr="007356EE">
              <w:rPr>
                <w:rFonts w:ascii="Charter" w:eastAsia="Calibri" w:hAnsi="Charter"/>
                <w:sz w:val="22"/>
                <w:lang w:val="en-US" w:eastAsia="en-US"/>
              </w:rPr>
              <w:t xml:space="preserve"> of Dottore di </w:t>
            </w:r>
            <w:proofErr w:type="spellStart"/>
            <w:r w:rsidR="00856D88" w:rsidRPr="007356EE">
              <w:rPr>
                <w:rFonts w:ascii="Charter" w:eastAsia="Calibri" w:hAnsi="Charter"/>
                <w:sz w:val="22"/>
                <w:lang w:val="en-US" w:eastAsia="en-US"/>
              </w:rPr>
              <w:t>Ricerca</w:t>
            </w:r>
            <w:proofErr w:type="spellEnd"/>
            <w:r w:rsidR="00856D88" w:rsidRPr="007356EE">
              <w:rPr>
                <w:rFonts w:ascii="Charter" w:eastAsia="Calibri" w:hAnsi="Charter"/>
                <w:sz w:val="22"/>
                <w:lang w:val="en-US" w:eastAsia="en-US"/>
              </w:rPr>
              <w:t xml:space="preserve"> (Dr. Phil) from Politecnico di Milano</w:t>
            </w:r>
            <w:r w:rsidRPr="007356EE">
              <w:rPr>
                <w:rFonts w:ascii="Charter" w:eastAsia="Calibri" w:hAnsi="Charter"/>
                <w:color w:val="000000" w:themeColor="text1"/>
                <w:sz w:val="22"/>
                <w:lang w:val="en-US" w:eastAsia="en-US"/>
              </w:rPr>
              <w:t>.</w:t>
            </w:r>
          </w:p>
          <w:p w14:paraId="046FB2E8"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 xml:space="preserve"> </w:t>
            </w:r>
          </w:p>
          <w:p w14:paraId="4C2F33F7"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The candidate may only use one title at a time. The use of both titles at once is not permitted.</w:t>
            </w:r>
          </w:p>
          <w:p w14:paraId="49E978B7" w14:textId="77777777" w:rsidR="00D91534" w:rsidRPr="007356EE" w:rsidRDefault="00D91534">
            <w:pPr>
              <w:widowControl w:val="0"/>
              <w:jc w:val="both"/>
              <w:rPr>
                <w:rFonts w:ascii="Charter" w:eastAsia="Calibri" w:hAnsi="Charter"/>
                <w:sz w:val="22"/>
                <w:lang w:val="en-US" w:eastAsia="en-US"/>
              </w:rPr>
            </w:pPr>
          </w:p>
          <w:p w14:paraId="1CC8E7EA"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The candidate may, in compliance with the plan of study agreed to by both advisors, attend classes and take the corresponding exams.</w:t>
            </w:r>
          </w:p>
          <w:p w14:paraId="6275B0E8"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The candidate must complete all requirements and expectations of the two doctoral programs, such as the acceptance of course credits, etc.</w:t>
            </w:r>
          </w:p>
          <w:p w14:paraId="58109743"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GB" w:eastAsia="en-US"/>
              </w:rPr>
              <w:t>The dissertation, after prior agreement by the doctoral seminar, will be completed in English, and will contain two further summaries in the languages of the two institutions.</w:t>
            </w:r>
          </w:p>
          <w:p w14:paraId="0F87BD29" w14:textId="77777777" w:rsidR="00D91534" w:rsidRPr="007356EE" w:rsidRDefault="0067460A">
            <w:pPr>
              <w:widowControl w:val="0"/>
              <w:rPr>
                <w:lang w:val="en-GB"/>
              </w:rPr>
            </w:pPr>
            <w:r w:rsidRPr="007356EE">
              <w:rPr>
                <w:lang w:val="en-GB"/>
              </w:rPr>
              <w:t xml:space="preserve">The Institution where the final </w:t>
            </w:r>
            <w:proofErr w:type="spellStart"/>
            <w:r w:rsidRPr="007356EE">
              <w:rPr>
                <w:lang w:val="en-GB"/>
              </w:rPr>
              <w:t>defense</w:t>
            </w:r>
            <w:proofErr w:type="spellEnd"/>
            <w:r w:rsidRPr="007356EE">
              <w:rPr>
                <w:lang w:val="en-GB"/>
              </w:rPr>
              <w:t xml:space="preserve"> will take place or any third party in accordance with agreement concluded by the Institution with this third party is responsible for travelling and accommodation expenses for the members of the evaluation committee. The expenses for travelling and accommodation of the </w:t>
            </w:r>
            <w:r w:rsidRPr="007356EE">
              <w:rPr>
                <w:spacing w:val="-2"/>
                <w:lang w:val="en-GB"/>
              </w:rPr>
              <w:t xml:space="preserve">two </w:t>
            </w:r>
            <w:r w:rsidRPr="007356EE">
              <w:rPr>
                <w:lang w:val="en-GB"/>
              </w:rPr>
              <w:t xml:space="preserve">supervisors are responsibility of the funds of each </w:t>
            </w:r>
            <w:r w:rsidRPr="007356EE">
              <w:rPr>
                <w:lang w:val="en-GB"/>
              </w:rPr>
              <w:lastRenderedPageBreak/>
              <w:t>supervisor.</w:t>
            </w:r>
          </w:p>
        </w:tc>
      </w:tr>
      <w:tr w:rsidR="00D91534" w:rsidRPr="007356EE" w14:paraId="130D7207" w14:textId="77777777">
        <w:tc>
          <w:tcPr>
            <w:tcW w:w="9072" w:type="dxa"/>
            <w:shd w:val="clear" w:color="auto" w:fill="auto"/>
          </w:tcPr>
          <w:p w14:paraId="277372F2" w14:textId="77777777" w:rsidR="00856D88" w:rsidRPr="007356EE" w:rsidRDefault="00856D88">
            <w:pPr>
              <w:widowControl w:val="0"/>
              <w:rPr>
                <w:rFonts w:ascii="Charter" w:eastAsia="Calibri" w:hAnsi="Charter"/>
                <w:b/>
                <w:sz w:val="22"/>
                <w:lang w:val="en-US" w:eastAsia="en-US"/>
              </w:rPr>
            </w:pPr>
          </w:p>
        </w:tc>
      </w:tr>
      <w:tr w:rsidR="00D91534" w:rsidRPr="007356EE" w14:paraId="48C520F4" w14:textId="77777777">
        <w:tc>
          <w:tcPr>
            <w:tcW w:w="9072" w:type="dxa"/>
            <w:shd w:val="clear" w:color="auto" w:fill="auto"/>
          </w:tcPr>
          <w:p w14:paraId="05DC2E4B"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§11 Examination Board</w:t>
            </w:r>
          </w:p>
          <w:p w14:paraId="6AE8AC1D" w14:textId="77777777" w:rsidR="00D91534" w:rsidRPr="007356EE" w:rsidRDefault="00D91534">
            <w:pPr>
              <w:widowControl w:val="0"/>
              <w:tabs>
                <w:tab w:val="num" w:pos="540"/>
              </w:tabs>
              <w:ind w:left="540"/>
              <w:rPr>
                <w:rFonts w:ascii="Charter" w:eastAsia="Calibri" w:hAnsi="Charter"/>
                <w:b/>
                <w:sz w:val="22"/>
                <w:lang w:val="en-US" w:eastAsia="en-US"/>
              </w:rPr>
            </w:pPr>
          </w:p>
          <w:p w14:paraId="7B1FCF90"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 xml:space="preserve">The committee for the dissertational defense is, in addition to the advisors, comprised of at least 3 professors, all experts in the field of the dissertation: one professor from, or indicated by, each of the partner institutions and a third from another institution other than the two partners. The dissertation committee includes </w:t>
            </w:r>
            <w:r w:rsidRPr="007356EE">
              <w:rPr>
                <w:lang w:val="en-GB"/>
              </w:rPr>
              <w:t>two referees from a third institution.</w:t>
            </w:r>
          </w:p>
          <w:p w14:paraId="0E6AD169"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The commission will be nominated by both institutions.  The defense of the dissertation will take place at the home institution of the candidate, and in the language of either one of the two institutions, or in English, according to the prior agreement between the commission and the doctoral candidate.</w:t>
            </w:r>
          </w:p>
          <w:p w14:paraId="32F053A1" w14:textId="77777777" w:rsidR="00D91534" w:rsidRPr="007356EE" w:rsidRDefault="00D91534">
            <w:pPr>
              <w:widowControl w:val="0"/>
              <w:rPr>
                <w:rFonts w:ascii="Charter" w:eastAsia="Calibri" w:hAnsi="Charter"/>
                <w:b/>
                <w:sz w:val="22"/>
                <w:lang w:val="en-US" w:eastAsia="en-US"/>
              </w:rPr>
            </w:pPr>
          </w:p>
        </w:tc>
      </w:tr>
      <w:tr w:rsidR="00D91534" w:rsidRPr="007356EE" w14:paraId="4B63C8C0" w14:textId="77777777">
        <w:tc>
          <w:tcPr>
            <w:tcW w:w="9072" w:type="dxa"/>
            <w:shd w:val="clear" w:color="auto" w:fill="auto"/>
          </w:tcPr>
          <w:p w14:paraId="4D8E05D5"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§12 IP Rights</w:t>
            </w:r>
          </w:p>
          <w:p w14:paraId="5C82AA5F" w14:textId="77777777" w:rsidR="00D91534" w:rsidRPr="007356EE" w:rsidRDefault="00D91534">
            <w:pPr>
              <w:widowControl w:val="0"/>
              <w:tabs>
                <w:tab w:val="num" w:pos="540"/>
              </w:tabs>
              <w:ind w:left="540"/>
              <w:rPr>
                <w:rFonts w:ascii="Charter" w:eastAsia="Calibri" w:hAnsi="Charter"/>
                <w:b/>
                <w:sz w:val="22"/>
                <w:lang w:val="en-US" w:eastAsia="en-US"/>
              </w:rPr>
            </w:pPr>
          </w:p>
          <w:p w14:paraId="1BCEF13B"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The legal rights to the contents of the dissertation and its publication, the utilization and protection of the results of the research therein lie under the purview of both institutions.</w:t>
            </w:r>
          </w:p>
          <w:p w14:paraId="6D091B6E"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 xml:space="preserve">In the event it is necessary, special contracts for the protection of intellectual property will be concluded. </w:t>
            </w:r>
          </w:p>
          <w:p w14:paraId="116E313E" w14:textId="77777777" w:rsidR="00D91534" w:rsidRPr="007356EE" w:rsidRDefault="00D91534">
            <w:pPr>
              <w:widowControl w:val="0"/>
              <w:rPr>
                <w:rFonts w:ascii="Charter" w:eastAsia="Calibri" w:hAnsi="Charter"/>
                <w:b/>
                <w:sz w:val="22"/>
                <w:lang w:val="en-US" w:eastAsia="en-US"/>
              </w:rPr>
            </w:pPr>
          </w:p>
        </w:tc>
      </w:tr>
      <w:tr w:rsidR="00D91534" w:rsidRPr="007356EE" w14:paraId="2813569D" w14:textId="77777777">
        <w:tc>
          <w:tcPr>
            <w:tcW w:w="9072" w:type="dxa"/>
            <w:shd w:val="clear" w:color="auto" w:fill="auto"/>
          </w:tcPr>
          <w:p w14:paraId="4E19548D"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§13 Finances</w:t>
            </w:r>
          </w:p>
          <w:p w14:paraId="3CCD8728" w14:textId="77777777" w:rsidR="00D91534" w:rsidRPr="007356EE" w:rsidRDefault="00D91534">
            <w:pPr>
              <w:widowControl w:val="0"/>
              <w:tabs>
                <w:tab w:val="num" w:pos="540"/>
              </w:tabs>
              <w:ind w:left="540"/>
              <w:rPr>
                <w:rFonts w:ascii="Charter" w:eastAsia="Calibri" w:hAnsi="Charter"/>
                <w:b/>
                <w:sz w:val="22"/>
                <w:lang w:val="en-US" w:eastAsia="en-US"/>
              </w:rPr>
            </w:pPr>
          </w:p>
          <w:p w14:paraId="33C6CC85"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It will be attempted to financially support the candidate through a scholarship from one or the other of the two institutions, or from a third-party source.</w:t>
            </w:r>
          </w:p>
          <w:p w14:paraId="6CA0CCA0" w14:textId="77777777" w:rsidR="00D91534" w:rsidRPr="007356EE" w:rsidRDefault="0067460A">
            <w:pPr>
              <w:widowControl w:val="0"/>
              <w:jc w:val="both"/>
              <w:rPr>
                <w:rFonts w:ascii="Charter" w:eastAsia="Calibri" w:hAnsi="Charter"/>
                <w:sz w:val="22"/>
                <w:lang w:val="en-US" w:eastAsia="en-US"/>
              </w:rPr>
            </w:pPr>
            <w:r w:rsidRPr="007356EE">
              <w:rPr>
                <w:rFonts w:ascii="Charter" w:eastAsia="Calibri" w:hAnsi="Charter"/>
                <w:sz w:val="22"/>
                <w:lang w:val="en-US" w:eastAsia="en-US"/>
              </w:rPr>
              <w:t xml:space="preserve">The candidate is responsible for his or her personal expenses for travel, housing and cost of living.  Each institution will provide the candidate with access to resources, including laboratories that are generally available to doctorate students at the institution. </w:t>
            </w:r>
          </w:p>
          <w:p w14:paraId="6FD70CCF" w14:textId="77777777" w:rsidR="00D91534" w:rsidRPr="007356EE" w:rsidRDefault="00D91534">
            <w:pPr>
              <w:widowControl w:val="0"/>
              <w:rPr>
                <w:rFonts w:ascii="Charter" w:eastAsia="Calibri" w:hAnsi="Charter"/>
                <w:b/>
                <w:sz w:val="22"/>
                <w:lang w:val="en-US" w:eastAsia="en-US"/>
              </w:rPr>
            </w:pPr>
          </w:p>
        </w:tc>
      </w:tr>
      <w:tr w:rsidR="00D91534" w:rsidRPr="007356EE" w14:paraId="4335615C" w14:textId="77777777">
        <w:tc>
          <w:tcPr>
            <w:tcW w:w="9072" w:type="dxa"/>
            <w:shd w:val="clear" w:color="auto" w:fill="auto"/>
          </w:tcPr>
          <w:p w14:paraId="08EE90CB" w14:textId="77777777" w:rsidR="00D91534" w:rsidRPr="007356EE" w:rsidRDefault="00D91534">
            <w:pPr>
              <w:widowControl w:val="0"/>
              <w:rPr>
                <w:rFonts w:ascii="Charter" w:eastAsia="Calibri" w:hAnsi="Charter"/>
                <w:b/>
                <w:sz w:val="22"/>
                <w:lang w:val="en-US" w:eastAsia="en-US"/>
              </w:rPr>
            </w:pPr>
          </w:p>
        </w:tc>
      </w:tr>
      <w:tr w:rsidR="00D91534" w:rsidRPr="007356EE" w14:paraId="574DC221" w14:textId="77777777">
        <w:tc>
          <w:tcPr>
            <w:tcW w:w="9072" w:type="dxa"/>
            <w:shd w:val="clear" w:color="auto" w:fill="auto"/>
          </w:tcPr>
          <w:p w14:paraId="71E4E74D"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§13 Health insurances</w:t>
            </w:r>
          </w:p>
          <w:p w14:paraId="758A6FDA" w14:textId="77777777" w:rsidR="00D91534" w:rsidRPr="007356EE" w:rsidRDefault="00D91534">
            <w:pPr>
              <w:widowControl w:val="0"/>
              <w:tabs>
                <w:tab w:val="num" w:pos="540"/>
              </w:tabs>
              <w:ind w:left="540"/>
              <w:rPr>
                <w:rFonts w:ascii="Charter" w:hAnsi="Charter"/>
                <w:b/>
                <w:sz w:val="22"/>
                <w:lang w:val="en-US"/>
              </w:rPr>
            </w:pPr>
          </w:p>
          <w:p w14:paraId="5AF1FA33" w14:textId="77777777" w:rsidR="00D91534" w:rsidRPr="007356EE" w:rsidRDefault="0067460A">
            <w:pPr>
              <w:widowControl w:val="0"/>
              <w:jc w:val="both"/>
              <w:rPr>
                <w:rFonts w:ascii="Charter" w:hAnsi="Charter"/>
                <w:sz w:val="22"/>
                <w:lang w:val="en-GB"/>
              </w:rPr>
            </w:pPr>
            <w:r w:rsidRPr="007356EE">
              <w:rPr>
                <w:rFonts w:ascii="Charter" w:hAnsi="Charter"/>
                <w:sz w:val="22"/>
                <w:lang w:val="en-US"/>
              </w:rPr>
              <w:t xml:space="preserve">The doctoral candidate is responsible for his or her own health insurance.  Additionally, he or she agrees to provide for appropriate liability insurance in the host country. </w:t>
            </w:r>
            <w:r w:rsidRPr="007356EE">
              <w:rPr>
                <w:rFonts w:ascii="Charter" w:hAnsi="Charter"/>
                <w:sz w:val="22"/>
                <w:lang w:val="en-GB"/>
              </w:rPr>
              <w:t>Each institution shall maintain policies of insurance and safety for staff and students within the law of its own country.</w:t>
            </w:r>
          </w:p>
          <w:p w14:paraId="1018680C" w14:textId="77777777" w:rsidR="00D91534" w:rsidRPr="007356EE" w:rsidRDefault="00D91534">
            <w:pPr>
              <w:widowControl w:val="0"/>
              <w:jc w:val="both"/>
              <w:rPr>
                <w:rFonts w:ascii="Charter" w:hAnsi="Charter"/>
                <w:sz w:val="22"/>
                <w:lang w:val="en-GB"/>
              </w:rPr>
            </w:pPr>
          </w:p>
          <w:p w14:paraId="135C4EF5" w14:textId="77777777" w:rsidR="00D91534" w:rsidRPr="007356EE" w:rsidRDefault="00D91534">
            <w:pPr>
              <w:widowControl w:val="0"/>
              <w:rPr>
                <w:rFonts w:ascii="Charter" w:eastAsia="Calibri" w:hAnsi="Charter"/>
                <w:b/>
                <w:sz w:val="22"/>
                <w:lang w:val="en-US" w:eastAsia="en-US"/>
              </w:rPr>
            </w:pPr>
          </w:p>
        </w:tc>
      </w:tr>
      <w:tr w:rsidR="00D91534" w:rsidRPr="007356EE" w14:paraId="53D632B2" w14:textId="77777777">
        <w:tc>
          <w:tcPr>
            <w:tcW w:w="9072" w:type="dxa"/>
            <w:shd w:val="clear" w:color="auto" w:fill="auto"/>
          </w:tcPr>
          <w:p w14:paraId="5D1D3D82"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w:t>
            </w:r>
            <w:r w:rsidR="00856D88" w:rsidRPr="007356EE">
              <w:rPr>
                <w:b/>
                <w:bCs/>
                <w:color w:val="31319A"/>
                <w:sz w:val="22"/>
                <w:szCs w:val="22"/>
                <w:lang w:val="en-GB"/>
              </w:rPr>
              <w:t>14 Applicable</w:t>
            </w:r>
            <w:r w:rsidRPr="007356EE">
              <w:rPr>
                <w:b/>
                <w:bCs/>
                <w:color w:val="31319A"/>
                <w:sz w:val="22"/>
                <w:szCs w:val="22"/>
                <w:lang w:val="en-GB"/>
              </w:rPr>
              <w:t xml:space="preserve"> law and jurisdiction</w:t>
            </w:r>
          </w:p>
          <w:p w14:paraId="45CD960B" w14:textId="77777777" w:rsidR="00D91534" w:rsidRPr="007356EE" w:rsidRDefault="00D91534">
            <w:pPr>
              <w:widowControl w:val="0"/>
              <w:tabs>
                <w:tab w:val="num" w:pos="540"/>
              </w:tabs>
              <w:ind w:left="540"/>
              <w:rPr>
                <w:rFonts w:ascii="Charter" w:hAnsi="Charter"/>
                <w:b/>
                <w:sz w:val="22"/>
                <w:lang w:val="en-US"/>
              </w:rPr>
            </w:pPr>
          </w:p>
          <w:p w14:paraId="7B01FA76" w14:textId="77777777" w:rsidR="00D91534" w:rsidRPr="007356EE" w:rsidRDefault="0067460A">
            <w:pPr>
              <w:rPr>
                <w:rFonts w:ascii="Georgia" w:hAnsi="Georgia"/>
                <w:sz w:val="22"/>
                <w:szCs w:val="22"/>
                <w:lang w:val="en-GB"/>
              </w:rPr>
            </w:pPr>
            <w:r w:rsidRPr="007356EE">
              <w:rPr>
                <w:rFonts w:ascii="Georgia" w:hAnsi="Georgia"/>
                <w:sz w:val="22"/>
                <w:szCs w:val="22"/>
                <w:lang w:val="en-GB"/>
              </w:rPr>
              <w:t xml:space="preserve">1) In the event of any disputes in connection with or arising from this Agreement, the parties involved shall attempt to reach an amicable settlement. If resolution cannot be found within 60 days, the dispute will be referred to and finally resolved by the court of the competent jurisdictions at the seat of the defendant. </w:t>
            </w:r>
          </w:p>
          <w:p w14:paraId="15F2723D" w14:textId="77777777" w:rsidR="00D91534" w:rsidRPr="007356EE" w:rsidRDefault="00D91534">
            <w:pPr>
              <w:rPr>
                <w:rFonts w:ascii="Georgia" w:hAnsi="Georgia"/>
                <w:sz w:val="22"/>
                <w:szCs w:val="22"/>
                <w:lang w:val="en-GB"/>
              </w:rPr>
            </w:pPr>
          </w:p>
          <w:p w14:paraId="11153AE5" w14:textId="77777777" w:rsidR="00D91534" w:rsidRPr="007356EE" w:rsidRDefault="0067460A">
            <w:pPr>
              <w:rPr>
                <w:rFonts w:ascii="Georgia" w:hAnsi="Georgia"/>
                <w:sz w:val="22"/>
                <w:szCs w:val="22"/>
                <w:lang w:val="en-GB"/>
              </w:rPr>
            </w:pPr>
            <w:r w:rsidRPr="007356EE">
              <w:rPr>
                <w:rFonts w:ascii="Georgia" w:hAnsi="Georgia"/>
                <w:sz w:val="22"/>
                <w:szCs w:val="22"/>
                <w:lang w:val="en-GB"/>
              </w:rPr>
              <w:t>(2) This agreement will be governed by the laws of the defendant.</w:t>
            </w:r>
          </w:p>
          <w:p w14:paraId="76812786" w14:textId="77777777" w:rsidR="00D91534" w:rsidRPr="007356EE" w:rsidRDefault="00D91534">
            <w:pPr>
              <w:widowControl w:val="0"/>
              <w:jc w:val="both"/>
              <w:rPr>
                <w:rFonts w:ascii="Charter" w:eastAsia="Calibri" w:hAnsi="Charter"/>
                <w:b/>
                <w:sz w:val="22"/>
                <w:lang w:val="en-US" w:eastAsia="en-US"/>
              </w:rPr>
            </w:pPr>
          </w:p>
        </w:tc>
      </w:tr>
      <w:tr w:rsidR="00D91534" w:rsidRPr="007356EE" w14:paraId="5F8DE911" w14:textId="77777777">
        <w:tc>
          <w:tcPr>
            <w:tcW w:w="9072" w:type="dxa"/>
            <w:shd w:val="clear" w:color="auto" w:fill="auto"/>
          </w:tcPr>
          <w:p w14:paraId="5B63A99C" w14:textId="77777777" w:rsidR="00D91534" w:rsidRPr="007356EE" w:rsidRDefault="0067460A">
            <w:pPr>
              <w:pStyle w:val="Default"/>
              <w:jc w:val="both"/>
              <w:rPr>
                <w:b/>
                <w:bCs/>
                <w:color w:val="31319A"/>
                <w:sz w:val="22"/>
                <w:szCs w:val="22"/>
                <w:lang w:val="en-GB"/>
              </w:rPr>
            </w:pPr>
            <w:r w:rsidRPr="007356EE">
              <w:rPr>
                <w:b/>
                <w:bCs/>
                <w:color w:val="31319A"/>
                <w:sz w:val="22"/>
                <w:szCs w:val="22"/>
                <w:lang w:val="en-GB"/>
              </w:rPr>
              <w:t>§15 Duration and Term of this agreement</w:t>
            </w:r>
          </w:p>
          <w:p w14:paraId="196EA270" w14:textId="77777777" w:rsidR="00D91534" w:rsidRPr="007356EE" w:rsidRDefault="00D91534">
            <w:pPr>
              <w:widowControl w:val="0"/>
              <w:tabs>
                <w:tab w:val="num" w:pos="540"/>
              </w:tabs>
              <w:ind w:left="540"/>
              <w:rPr>
                <w:rFonts w:ascii="Charter" w:eastAsia="Calibri" w:hAnsi="Charter"/>
                <w:sz w:val="22"/>
                <w:lang w:val="en-US" w:eastAsia="en-US"/>
              </w:rPr>
            </w:pPr>
          </w:p>
          <w:p w14:paraId="445A5138" w14:textId="77777777" w:rsidR="00D91534" w:rsidRPr="007356EE" w:rsidRDefault="0067460A">
            <w:pPr>
              <w:widowControl w:val="0"/>
              <w:rPr>
                <w:rFonts w:ascii="Charter" w:hAnsi="Charter"/>
                <w:sz w:val="22"/>
                <w:lang w:val="en-US" w:eastAsia="fr-FR"/>
              </w:rPr>
            </w:pPr>
            <w:r w:rsidRPr="007356EE">
              <w:rPr>
                <w:rFonts w:ascii="Charter" w:hAnsi="Charter"/>
                <w:sz w:val="22"/>
                <w:lang w:val="en-US" w:eastAsia="fr-FR"/>
              </w:rPr>
              <w:t>The preceding agreement will be valid for a period of five years proceeding from the date of signing, and will automatically renew itself if neither party wishes to terminate the agreement.  Any changes from one or the other party will be added as a signed addendum.  The agreement can be terminated at any time after the first six months by giving six months’ prior written notice to the other.</w:t>
            </w:r>
          </w:p>
          <w:p w14:paraId="57EAA377" w14:textId="77777777" w:rsidR="00D91534" w:rsidRPr="007356EE" w:rsidRDefault="00D91534">
            <w:pPr>
              <w:widowControl w:val="0"/>
              <w:rPr>
                <w:rFonts w:ascii="Charter" w:eastAsia="Calibri" w:hAnsi="Charter"/>
                <w:b/>
                <w:sz w:val="22"/>
                <w:lang w:val="en-US" w:eastAsia="en-US"/>
              </w:rPr>
            </w:pPr>
          </w:p>
        </w:tc>
      </w:tr>
      <w:tr w:rsidR="00D91534" w:rsidRPr="007356EE" w14:paraId="5B8806A2" w14:textId="77777777">
        <w:tc>
          <w:tcPr>
            <w:tcW w:w="9072" w:type="dxa"/>
            <w:shd w:val="clear" w:color="auto" w:fill="auto"/>
          </w:tcPr>
          <w:p w14:paraId="62330D09" w14:textId="77777777" w:rsidR="00D91534" w:rsidRPr="007356EE" w:rsidRDefault="00D91534">
            <w:pPr>
              <w:pStyle w:val="Default"/>
              <w:jc w:val="both"/>
              <w:rPr>
                <w:b/>
                <w:bCs/>
                <w:color w:val="31319A"/>
                <w:sz w:val="22"/>
                <w:szCs w:val="22"/>
                <w:lang w:val="en-GB"/>
              </w:rPr>
            </w:pPr>
          </w:p>
        </w:tc>
      </w:tr>
    </w:tbl>
    <w:p w14:paraId="0C735211" w14:textId="77777777" w:rsidR="00D91534" w:rsidRPr="007356EE" w:rsidRDefault="00D91534">
      <w:pPr>
        <w:rPr>
          <w:rFonts w:ascii="Georgia" w:hAnsi="Georgia"/>
          <w:b/>
          <w:sz w:val="22"/>
          <w:szCs w:val="22"/>
          <w:lang w:val="en-GB"/>
        </w:rPr>
      </w:pPr>
    </w:p>
    <w:p w14:paraId="3F200827" w14:textId="77777777" w:rsidR="00D91534" w:rsidRPr="007356EE" w:rsidRDefault="0067460A" w:rsidP="00856D88">
      <w:pPr>
        <w:ind w:left="5664" w:hanging="5664"/>
        <w:rPr>
          <w:rFonts w:ascii="Georgia" w:hAnsi="Georgia"/>
          <w:sz w:val="22"/>
          <w:szCs w:val="22"/>
          <w:lang w:val="it-IT"/>
        </w:rPr>
      </w:pPr>
      <w:r w:rsidRPr="007356EE">
        <w:rPr>
          <w:rFonts w:ascii="Georgia" w:hAnsi="Georgia"/>
          <w:b/>
          <w:sz w:val="22"/>
          <w:szCs w:val="22"/>
          <w:lang w:val="it-IT"/>
        </w:rPr>
        <w:t>For the TU Braunschweig</w:t>
      </w:r>
      <w:r w:rsidRPr="007356EE">
        <w:rPr>
          <w:rFonts w:ascii="Georgia" w:hAnsi="Georgia"/>
          <w:sz w:val="22"/>
          <w:szCs w:val="22"/>
          <w:lang w:val="it-IT"/>
        </w:rPr>
        <w:tab/>
      </w:r>
      <w:r w:rsidRPr="007356EE">
        <w:rPr>
          <w:rFonts w:ascii="Georgia" w:hAnsi="Georgia"/>
          <w:b/>
          <w:sz w:val="22"/>
          <w:szCs w:val="22"/>
          <w:lang w:val="it-IT"/>
        </w:rPr>
        <w:t xml:space="preserve">For the </w:t>
      </w:r>
      <w:r w:rsidR="00856D88" w:rsidRPr="007356EE">
        <w:rPr>
          <w:rFonts w:ascii="Georgia" w:hAnsi="Georgia"/>
          <w:b/>
          <w:sz w:val="22"/>
          <w:szCs w:val="22"/>
          <w:lang w:val="it-IT"/>
        </w:rPr>
        <w:t>Politecnico di Milano</w:t>
      </w:r>
    </w:p>
    <w:p w14:paraId="4AE59FED" w14:textId="77777777" w:rsidR="00D91534" w:rsidRPr="007356EE" w:rsidRDefault="00D91534">
      <w:pPr>
        <w:rPr>
          <w:rFonts w:ascii="Georgia" w:hAnsi="Georgia"/>
          <w:sz w:val="22"/>
          <w:szCs w:val="22"/>
          <w:lang w:val="it-IT"/>
        </w:rPr>
      </w:pPr>
    </w:p>
    <w:p w14:paraId="6635262E" w14:textId="77777777" w:rsidR="00D91534" w:rsidRPr="007356EE" w:rsidRDefault="00D91534">
      <w:pPr>
        <w:rPr>
          <w:rFonts w:ascii="Georgia" w:hAnsi="Georgia"/>
          <w:sz w:val="22"/>
          <w:szCs w:val="22"/>
          <w:lang w:val="it-IT"/>
        </w:rPr>
      </w:pPr>
    </w:p>
    <w:p w14:paraId="20069FCF" w14:textId="77777777" w:rsidR="00D91534" w:rsidRPr="007356EE" w:rsidRDefault="00D91534">
      <w:pPr>
        <w:rPr>
          <w:rFonts w:ascii="Georgia" w:hAnsi="Georgia"/>
          <w:sz w:val="22"/>
          <w:szCs w:val="22"/>
          <w:lang w:val="it-IT"/>
        </w:rPr>
      </w:pPr>
    </w:p>
    <w:p w14:paraId="392D8DA9" w14:textId="77777777" w:rsidR="00D91534" w:rsidRPr="007356EE" w:rsidRDefault="00D91534">
      <w:pPr>
        <w:rPr>
          <w:rFonts w:ascii="Georgia" w:hAnsi="Georgia"/>
          <w:sz w:val="22"/>
          <w:szCs w:val="22"/>
          <w:lang w:val="it-IT"/>
        </w:rPr>
      </w:pPr>
    </w:p>
    <w:p w14:paraId="23A04E7C" w14:textId="77777777" w:rsidR="00D91534" w:rsidRPr="007356EE" w:rsidRDefault="0067460A">
      <w:pPr>
        <w:rPr>
          <w:rFonts w:ascii="Georgia" w:hAnsi="Georgia"/>
          <w:sz w:val="22"/>
          <w:szCs w:val="22"/>
          <w:lang w:val="it-IT"/>
        </w:rPr>
      </w:pPr>
      <w:r w:rsidRPr="007356EE">
        <w:rPr>
          <w:rFonts w:ascii="Georgia" w:hAnsi="Georgia"/>
          <w:sz w:val="22"/>
          <w:szCs w:val="22"/>
          <w:lang w:val="it-IT"/>
        </w:rPr>
        <w:t>____________________</w:t>
      </w:r>
      <w:r w:rsidRPr="007356EE">
        <w:rPr>
          <w:rFonts w:ascii="Georgia" w:hAnsi="Georgia"/>
          <w:sz w:val="22"/>
          <w:szCs w:val="22"/>
          <w:lang w:val="it-IT"/>
        </w:rPr>
        <w:tab/>
      </w:r>
      <w:r w:rsidRPr="007356EE">
        <w:rPr>
          <w:rFonts w:ascii="Georgia" w:hAnsi="Georgia"/>
          <w:sz w:val="22"/>
          <w:szCs w:val="22"/>
          <w:lang w:val="it-IT"/>
        </w:rPr>
        <w:tab/>
      </w:r>
      <w:r w:rsidRPr="007356EE">
        <w:rPr>
          <w:rFonts w:ascii="Georgia" w:hAnsi="Georgia"/>
          <w:sz w:val="22"/>
          <w:szCs w:val="22"/>
          <w:lang w:val="it-IT"/>
        </w:rPr>
        <w:tab/>
      </w:r>
      <w:r w:rsidRPr="007356EE">
        <w:rPr>
          <w:rFonts w:ascii="Georgia" w:hAnsi="Georgia"/>
          <w:sz w:val="22"/>
          <w:szCs w:val="22"/>
          <w:lang w:val="it-IT"/>
        </w:rPr>
        <w:tab/>
      </w:r>
      <w:r w:rsidRPr="007356EE">
        <w:rPr>
          <w:rFonts w:ascii="Georgia" w:hAnsi="Georgia"/>
          <w:sz w:val="22"/>
          <w:szCs w:val="22"/>
          <w:lang w:val="it-IT"/>
        </w:rPr>
        <w:tab/>
        <w:t>____________________</w:t>
      </w:r>
    </w:p>
    <w:p w14:paraId="57EFA677" w14:textId="77777777" w:rsidR="00D91534" w:rsidRPr="007356EE" w:rsidRDefault="00D91534">
      <w:pPr>
        <w:rPr>
          <w:rFonts w:ascii="Georgia" w:hAnsi="Georgia"/>
          <w:sz w:val="22"/>
          <w:szCs w:val="22"/>
          <w:lang w:val="it-IT"/>
        </w:rPr>
      </w:pPr>
    </w:p>
    <w:p w14:paraId="1FD1FEA5" w14:textId="77777777" w:rsidR="00856D88" w:rsidRPr="007356EE" w:rsidRDefault="0067460A" w:rsidP="00856D88">
      <w:pPr>
        <w:widowControl w:val="0"/>
        <w:rPr>
          <w:b/>
          <w:sz w:val="22"/>
          <w:lang w:val="it-IT"/>
        </w:rPr>
      </w:pPr>
      <w:r w:rsidRPr="007356EE">
        <w:rPr>
          <w:b/>
          <w:iCs/>
          <w:sz w:val="22"/>
          <w:szCs w:val="22"/>
          <w:lang w:val="it-IT"/>
        </w:rPr>
        <w:t>Angela ITTEL</w:t>
      </w:r>
      <w:r w:rsidRPr="007356EE">
        <w:rPr>
          <w:sz w:val="22"/>
          <w:szCs w:val="22"/>
          <w:lang w:val="it-IT"/>
        </w:rPr>
        <w:tab/>
      </w:r>
      <w:r w:rsidRPr="007356EE">
        <w:rPr>
          <w:sz w:val="22"/>
          <w:szCs w:val="22"/>
          <w:lang w:val="it-IT"/>
        </w:rPr>
        <w:tab/>
      </w:r>
      <w:r w:rsidRPr="007356EE">
        <w:rPr>
          <w:b/>
          <w:sz w:val="22"/>
          <w:szCs w:val="22"/>
          <w:lang w:val="it-IT"/>
        </w:rPr>
        <w:tab/>
      </w:r>
      <w:r w:rsidR="00856D88" w:rsidRPr="007356EE">
        <w:rPr>
          <w:b/>
          <w:sz w:val="22"/>
          <w:szCs w:val="22"/>
          <w:lang w:val="it-IT"/>
        </w:rPr>
        <w:tab/>
      </w:r>
      <w:r w:rsidR="00856D88" w:rsidRPr="007356EE">
        <w:rPr>
          <w:b/>
          <w:sz w:val="22"/>
          <w:szCs w:val="22"/>
          <w:lang w:val="it-IT"/>
        </w:rPr>
        <w:tab/>
      </w:r>
      <w:r w:rsidR="00856D88" w:rsidRPr="007356EE">
        <w:rPr>
          <w:b/>
          <w:sz w:val="22"/>
          <w:szCs w:val="22"/>
          <w:lang w:val="it-IT"/>
        </w:rPr>
        <w:tab/>
      </w:r>
      <w:r w:rsidRPr="007356EE">
        <w:rPr>
          <w:b/>
          <w:sz w:val="22"/>
          <w:szCs w:val="22"/>
          <w:lang w:val="it-IT"/>
        </w:rPr>
        <w:tab/>
      </w:r>
      <w:r w:rsidR="00856D88" w:rsidRPr="007356EE">
        <w:rPr>
          <w:b/>
          <w:sz w:val="22"/>
          <w:lang w:val="it-IT"/>
        </w:rPr>
        <w:t>Prof. Donatella Sciuto</w:t>
      </w:r>
    </w:p>
    <w:p w14:paraId="5622CA7E" w14:textId="77777777" w:rsidR="00D91534" w:rsidRPr="007356EE" w:rsidRDefault="00D91534">
      <w:pPr>
        <w:pStyle w:val="Default"/>
        <w:rPr>
          <w:b/>
          <w:color w:val="auto"/>
          <w:sz w:val="22"/>
          <w:szCs w:val="22"/>
          <w:lang w:val="it-IT"/>
        </w:rPr>
      </w:pPr>
    </w:p>
    <w:p w14:paraId="0FBF39B7" w14:textId="77777777" w:rsidR="00D91534" w:rsidRPr="007356EE" w:rsidRDefault="00D91534">
      <w:pPr>
        <w:ind w:left="5664" w:hanging="5664"/>
        <w:rPr>
          <w:rFonts w:ascii="Georgia" w:hAnsi="Georgia"/>
          <w:iCs/>
          <w:sz w:val="22"/>
          <w:szCs w:val="22"/>
          <w:lang w:val="it-IT"/>
        </w:rPr>
      </w:pPr>
    </w:p>
    <w:p w14:paraId="3615D136" w14:textId="77777777" w:rsidR="00856D88" w:rsidRPr="007356EE" w:rsidRDefault="0067460A" w:rsidP="00856D88">
      <w:pPr>
        <w:widowControl w:val="0"/>
        <w:rPr>
          <w:sz w:val="22"/>
          <w:lang w:val="en-US"/>
        </w:rPr>
      </w:pPr>
      <w:r w:rsidRPr="007356EE">
        <w:rPr>
          <w:rFonts w:ascii="Georgia" w:hAnsi="Georgia"/>
          <w:iCs/>
          <w:sz w:val="22"/>
          <w:szCs w:val="22"/>
          <w:lang w:val="en-GB"/>
        </w:rPr>
        <w:t xml:space="preserve">President of the </w:t>
      </w:r>
      <w:r w:rsidRPr="007356EE">
        <w:rPr>
          <w:rFonts w:ascii="Georgia" w:hAnsi="Georgia"/>
          <w:sz w:val="22"/>
          <w:szCs w:val="22"/>
          <w:lang w:val="en-GB"/>
        </w:rPr>
        <w:t>Technical</w:t>
      </w:r>
      <w:r w:rsidRPr="007356EE">
        <w:rPr>
          <w:rFonts w:ascii="Georgia" w:hAnsi="Georgia"/>
          <w:iCs/>
          <w:sz w:val="22"/>
          <w:szCs w:val="22"/>
          <w:lang w:val="en-GB"/>
        </w:rPr>
        <w:t xml:space="preserve"> University</w:t>
      </w:r>
      <w:r w:rsidR="00856D88" w:rsidRPr="007356EE">
        <w:rPr>
          <w:rFonts w:ascii="Georgia" w:hAnsi="Georgia"/>
          <w:iCs/>
          <w:sz w:val="22"/>
          <w:szCs w:val="22"/>
          <w:lang w:val="en-GB"/>
        </w:rPr>
        <w:tab/>
      </w:r>
      <w:r w:rsidR="00856D88" w:rsidRPr="007356EE">
        <w:rPr>
          <w:rFonts w:ascii="Georgia" w:hAnsi="Georgia"/>
          <w:iCs/>
          <w:sz w:val="22"/>
          <w:szCs w:val="22"/>
          <w:lang w:val="en-GB"/>
        </w:rPr>
        <w:tab/>
      </w:r>
      <w:r w:rsidR="00856D88" w:rsidRPr="007356EE">
        <w:rPr>
          <w:rFonts w:ascii="Georgia" w:hAnsi="Georgia"/>
          <w:iCs/>
          <w:sz w:val="22"/>
          <w:szCs w:val="22"/>
          <w:lang w:val="en-GB"/>
        </w:rPr>
        <w:tab/>
      </w:r>
      <w:proofErr w:type="gramStart"/>
      <w:r w:rsidR="00856D88" w:rsidRPr="007356EE">
        <w:rPr>
          <w:sz w:val="22"/>
          <w:lang w:val="en-US"/>
        </w:rPr>
        <w:t>The</w:t>
      </w:r>
      <w:proofErr w:type="gramEnd"/>
      <w:r w:rsidR="00856D88" w:rsidRPr="007356EE">
        <w:rPr>
          <w:sz w:val="22"/>
          <w:lang w:val="en-US"/>
        </w:rPr>
        <w:t xml:space="preserve"> Rector of Politecnico di Milano</w:t>
      </w:r>
    </w:p>
    <w:p w14:paraId="7E07D323" w14:textId="77777777" w:rsidR="00856D88" w:rsidRPr="007356EE" w:rsidRDefault="00856D88" w:rsidP="00856D88">
      <w:pPr>
        <w:widowControl w:val="0"/>
        <w:rPr>
          <w:color w:val="FF0000"/>
          <w:sz w:val="22"/>
          <w:lang w:val="en-US"/>
        </w:rPr>
      </w:pPr>
    </w:p>
    <w:p w14:paraId="0D3BF3B5" w14:textId="77777777" w:rsidR="00D91534" w:rsidRDefault="0067460A">
      <w:pPr>
        <w:ind w:left="5664" w:hanging="5665"/>
        <w:rPr>
          <w:rFonts w:ascii="Georgia" w:hAnsi="Georgia"/>
          <w:iCs/>
          <w:sz w:val="22"/>
          <w:szCs w:val="22"/>
          <w:lang w:val="en-GB"/>
        </w:rPr>
      </w:pPr>
      <w:r w:rsidRPr="007356EE">
        <w:rPr>
          <w:rFonts w:ascii="Georgia" w:hAnsi="Georgia"/>
          <w:iCs/>
          <w:sz w:val="22"/>
          <w:szCs w:val="22"/>
          <w:lang w:val="en-GB"/>
        </w:rPr>
        <w:t>of Braunschweig</w:t>
      </w:r>
      <w:r>
        <w:rPr>
          <w:rFonts w:ascii="Georgia" w:hAnsi="Georgia"/>
          <w:iCs/>
          <w:sz w:val="22"/>
          <w:szCs w:val="22"/>
          <w:lang w:val="en-GB"/>
        </w:rPr>
        <w:tab/>
      </w:r>
    </w:p>
    <w:p w14:paraId="50012252" w14:textId="77777777" w:rsidR="00D91534" w:rsidRDefault="00D91534">
      <w:pPr>
        <w:ind w:left="5664" w:hanging="5665"/>
        <w:rPr>
          <w:rFonts w:ascii="Georgia" w:hAnsi="Georgia"/>
          <w:iCs/>
          <w:sz w:val="22"/>
          <w:szCs w:val="22"/>
          <w:lang w:val="en-GB"/>
        </w:rPr>
      </w:pPr>
    </w:p>
    <w:p w14:paraId="568E8D23" w14:textId="77777777" w:rsidR="00D91534" w:rsidRDefault="00D91534">
      <w:pPr>
        <w:ind w:left="5664" w:hanging="5665"/>
        <w:rPr>
          <w:rFonts w:ascii="Georgia" w:hAnsi="Georgia"/>
          <w:iCs/>
          <w:sz w:val="22"/>
          <w:szCs w:val="22"/>
          <w:lang w:val="en-GB"/>
        </w:rPr>
      </w:pPr>
    </w:p>
    <w:p w14:paraId="35C96064" w14:textId="77777777" w:rsidR="00D91534" w:rsidRDefault="0067460A">
      <w:pPr>
        <w:ind w:hanging="1"/>
        <w:rPr>
          <w:rFonts w:ascii="Georgia" w:hAnsi="Georgia"/>
          <w:iCs/>
          <w:sz w:val="22"/>
          <w:szCs w:val="22"/>
          <w:lang w:val="en-GB"/>
        </w:rPr>
      </w:pPr>
      <w:r>
        <w:rPr>
          <w:rFonts w:ascii="Georgia" w:hAnsi="Georgia"/>
          <w:iCs/>
          <w:sz w:val="22"/>
          <w:szCs w:val="22"/>
          <w:lang w:val="en-GB"/>
        </w:rPr>
        <w:tab/>
      </w:r>
    </w:p>
    <w:p w14:paraId="0983ACA8" w14:textId="77777777" w:rsidR="00D91534" w:rsidRDefault="00D91534">
      <w:pPr>
        <w:ind w:hanging="1"/>
        <w:rPr>
          <w:rFonts w:ascii="Georgia" w:hAnsi="Georgia"/>
          <w:iCs/>
          <w:sz w:val="22"/>
          <w:szCs w:val="22"/>
          <w:lang w:val="en-GB"/>
        </w:rPr>
      </w:pPr>
    </w:p>
    <w:p w14:paraId="1B8351B8" w14:textId="77777777" w:rsidR="00D91534" w:rsidRDefault="00D91534">
      <w:pPr>
        <w:ind w:hanging="1"/>
        <w:rPr>
          <w:rFonts w:ascii="Georgia" w:hAnsi="Georgia"/>
          <w:iCs/>
          <w:sz w:val="22"/>
          <w:szCs w:val="22"/>
          <w:lang w:val="en-GB"/>
        </w:rPr>
      </w:pPr>
    </w:p>
    <w:p w14:paraId="17E2CB86" w14:textId="77777777" w:rsidR="00D91534" w:rsidRDefault="00D91534">
      <w:pPr>
        <w:rPr>
          <w:rFonts w:ascii="Georgia" w:hAnsi="Georgia"/>
          <w:b/>
          <w:sz w:val="22"/>
          <w:szCs w:val="22"/>
          <w:lang w:val="en-GB"/>
        </w:rPr>
      </w:pPr>
    </w:p>
    <w:sectPr w:rsidR="00D91534">
      <w:headerReference w:type="default" r:id="rId8"/>
      <w:footerReference w:type="default" r:id="rId9"/>
      <w:pgSz w:w="12240" w:h="15840"/>
      <w:pgMar w:top="1417" w:right="1417" w:bottom="1134" w:left="1417" w:header="760" w:footer="51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6F3E" w14:textId="77777777" w:rsidR="00D91534" w:rsidRDefault="0067460A">
      <w:r>
        <w:separator/>
      </w:r>
    </w:p>
  </w:endnote>
  <w:endnote w:type="continuationSeparator" w:id="0">
    <w:p w14:paraId="20D06DEC" w14:textId="77777777" w:rsidR="00D91534" w:rsidRDefault="0067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w:altName w:val="Cambria Math"/>
    <w:panose1 w:val="02040503050506020203"/>
    <w:charset w:val="01"/>
    <w:family w:val="roman"/>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6EE7" w14:textId="77777777" w:rsidR="00D91534" w:rsidRDefault="0067460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7A93" w14:textId="77777777" w:rsidR="00D91534" w:rsidRDefault="0067460A">
      <w:r>
        <w:separator/>
      </w:r>
    </w:p>
  </w:footnote>
  <w:footnote w:type="continuationSeparator" w:id="0">
    <w:p w14:paraId="6DB8072E" w14:textId="77777777" w:rsidR="00D91534" w:rsidRDefault="0067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7CF0" w14:textId="77777777" w:rsidR="00D91534" w:rsidRDefault="000E6339">
    <w:pPr>
      <w:pStyle w:val="Header"/>
    </w:pPr>
    <w:r>
      <w:rPr>
        <w:noProof/>
      </w:rPr>
      <w:drawing>
        <wp:anchor distT="0" distB="0" distL="114300" distR="114300" simplePos="0" relativeHeight="251661312" behindDoc="0" locked="0" layoutInCell="1" allowOverlap="1" wp14:anchorId="607A3ECB" wp14:editId="344A218D">
          <wp:simplePos x="0" y="0"/>
          <wp:positionH relativeFrom="margin">
            <wp:align>right</wp:align>
          </wp:positionH>
          <wp:positionV relativeFrom="paragraph">
            <wp:posOffset>-482600</wp:posOffset>
          </wp:positionV>
          <wp:extent cx="1468755" cy="1141730"/>
          <wp:effectExtent l="0" t="0" r="0" b="1270"/>
          <wp:wrapTopAndBottom/>
          <wp:docPr id="2" name="Picture 2"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60A">
      <w:rPr>
        <w:b/>
        <w:bCs/>
        <w:noProof/>
        <w:color w:val="31319A"/>
        <w:sz w:val="32"/>
        <w:szCs w:val="32"/>
      </w:rPr>
      <w:drawing>
        <wp:anchor distT="0" distB="0" distL="114300" distR="114300" simplePos="0" relativeHeight="251660288" behindDoc="1" locked="0" layoutInCell="1" allowOverlap="1" wp14:anchorId="1AF5FA03" wp14:editId="69850C1F">
          <wp:simplePos x="0" y="0"/>
          <wp:positionH relativeFrom="column">
            <wp:posOffset>22226</wp:posOffset>
          </wp:positionH>
          <wp:positionV relativeFrom="paragraph">
            <wp:posOffset>-282991</wp:posOffset>
          </wp:positionV>
          <wp:extent cx="1722120" cy="639226"/>
          <wp:effectExtent l="0" t="0" r="0" b="889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braunschweig_4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8322" cy="645240"/>
                  </a:xfrm>
                  <a:prstGeom prst="rect">
                    <a:avLst/>
                  </a:prstGeom>
                </pic:spPr>
              </pic:pic>
            </a:graphicData>
          </a:graphic>
          <wp14:sizeRelH relativeFrom="margin">
            <wp14:pctWidth>0</wp14:pctWidth>
          </wp14:sizeRelH>
          <wp14:sizeRelV relativeFrom="margin">
            <wp14:pctHeight>0</wp14:pctHeight>
          </wp14:sizeRelV>
        </wp:anchor>
      </w:drawing>
    </w:r>
    <w:r w:rsidR="0067460A">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11D"/>
    <w:multiLevelType w:val="multilevel"/>
    <w:tmpl w:val="671404E6"/>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2"/>
      <w:numFmt w:val="decimal"/>
      <w:lvlText w:val="%3."/>
      <w:lvlJc w:val="left"/>
      <w:pPr>
        <w:tabs>
          <w:tab w:val="num" w:pos="1980"/>
        </w:tabs>
        <w:ind w:left="1980" w:hanging="36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67D6557"/>
    <w:multiLevelType w:val="hybridMultilevel"/>
    <w:tmpl w:val="3D2E7E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024A96"/>
    <w:multiLevelType w:val="hybridMultilevel"/>
    <w:tmpl w:val="561C075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255D2077"/>
    <w:multiLevelType w:val="hybridMultilevel"/>
    <w:tmpl w:val="BED2F9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D80564"/>
    <w:multiLevelType w:val="hybridMultilevel"/>
    <w:tmpl w:val="22D49B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0216F7"/>
    <w:multiLevelType w:val="hybridMultilevel"/>
    <w:tmpl w:val="966C317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70A3EFD"/>
    <w:multiLevelType w:val="hybridMultilevel"/>
    <w:tmpl w:val="0D9446F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9E42CD"/>
    <w:multiLevelType w:val="multilevel"/>
    <w:tmpl w:val="EDA095C0"/>
    <w:lvl w:ilvl="0">
      <w:start w:val="1"/>
      <w:numFmt w:val="decimal"/>
      <w:lvlText w:val="%1."/>
      <w:lvlJc w:val="left"/>
      <w:pPr>
        <w:tabs>
          <w:tab w:val="num" w:pos="540"/>
        </w:tabs>
        <w:ind w:left="540" w:hanging="360"/>
      </w:pPr>
      <w:rPr>
        <w:b/>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E270588"/>
    <w:multiLevelType w:val="hybridMultilevel"/>
    <w:tmpl w:val="2E6434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8B14707"/>
    <w:multiLevelType w:val="hybridMultilevel"/>
    <w:tmpl w:val="AA343D0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C2C4F6E"/>
    <w:multiLevelType w:val="hybridMultilevel"/>
    <w:tmpl w:val="27BA91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2641A8"/>
    <w:multiLevelType w:val="hybridMultilevel"/>
    <w:tmpl w:val="F9A01ECC"/>
    <w:lvl w:ilvl="0" w:tplc="48404D4E">
      <w:start w:val="1"/>
      <w:numFmt w:val="bullet"/>
      <w:lvlText w:val=""/>
      <w:lvlJc w:val="left"/>
      <w:pPr>
        <w:tabs>
          <w:tab w:val="num" w:pos="-31680"/>
        </w:tabs>
        <w:ind w:left="567" w:hanging="567"/>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D4868B1"/>
    <w:multiLevelType w:val="hybridMultilevel"/>
    <w:tmpl w:val="EF8A09AA"/>
    <w:lvl w:ilvl="0" w:tplc="68F01640">
      <w:start w:val="1"/>
      <w:numFmt w:val="decimal"/>
      <w:lvlText w:val="(%1)"/>
      <w:lvlJc w:val="left"/>
      <w:pPr>
        <w:ind w:left="720" w:hanging="360"/>
      </w:pPr>
      <w:rPr>
        <w:rFonts w:ascii="Georgia" w:hAnsi="Georgia"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357C63"/>
    <w:multiLevelType w:val="hybridMultilevel"/>
    <w:tmpl w:val="5D32A6CA"/>
    <w:lvl w:ilvl="0" w:tplc="290E4B08">
      <w:start w:val="1"/>
      <w:numFmt w:val="decimal"/>
      <w:lvlText w:val="%1."/>
      <w:lvlJc w:val="left"/>
      <w:pPr>
        <w:ind w:left="390" w:hanging="235"/>
      </w:pPr>
      <w:rPr>
        <w:rFonts w:ascii="Arial" w:eastAsia="Arial" w:hAnsi="Arial" w:cs="Arial" w:hint="default"/>
        <w:b/>
        <w:bCs/>
        <w:spacing w:val="0"/>
        <w:w w:val="99"/>
        <w:sz w:val="22"/>
        <w:szCs w:val="22"/>
      </w:rPr>
    </w:lvl>
    <w:lvl w:ilvl="1" w:tplc="FE2C6990">
      <w:numFmt w:val="bullet"/>
      <w:lvlText w:val="•"/>
      <w:lvlJc w:val="left"/>
      <w:pPr>
        <w:ind w:left="1354" w:hanging="235"/>
      </w:pPr>
      <w:rPr>
        <w:rFonts w:hint="default"/>
      </w:rPr>
    </w:lvl>
    <w:lvl w:ilvl="2" w:tplc="1A94FE52">
      <w:numFmt w:val="bullet"/>
      <w:lvlText w:val="•"/>
      <w:lvlJc w:val="left"/>
      <w:pPr>
        <w:ind w:left="2309" w:hanging="235"/>
      </w:pPr>
      <w:rPr>
        <w:rFonts w:hint="default"/>
      </w:rPr>
    </w:lvl>
    <w:lvl w:ilvl="3" w:tplc="18A4B546">
      <w:numFmt w:val="bullet"/>
      <w:lvlText w:val="•"/>
      <w:lvlJc w:val="left"/>
      <w:pPr>
        <w:ind w:left="3263" w:hanging="235"/>
      </w:pPr>
      <w:rPr>
        <w:rFonts w:hint="default"/>
      </w:rPr>
    </w:lvl>
    <w:lvl w:ilvl="4" w:tplc="BE2E7F66">
      <w:numFmt w:val="bullet"/>
      <w:lvlText w:val="•"/>
      <w:lvlJc w:val="left"/>
      <w:pPr>
        <w:ind w:left="4218" w:hanging="235"/>
      </w:pPr>
      <w:rPr>
        <w:rFonts w:hint="default"/>
      </w:rPr>
    </w:lvl>
    <w:lvl w:ilvl="5" w:tplc="E75E7EA4">
      <w:numFmt w:val="bullet"/>
      <w:lvlText w:val="•"/>
      <w:lvlJc w:val="left"/>
      <w:pPr>
        <w:ind w:left="5172" w:hanging="235"/>
      </w:pPr>
      <w:rPr>
        <w:rFonts w:hint="default"/>
      </w:rPr>
    </w:lvl>
    <w:lvl w:ilvl="6" w:tplc="B90EC092">
      <w:numFmt w:val="bullet"/>
      <w:lvlText w:val="•"/>
      <w:lvlJc w:val="left"/>
      <w:pPr>
        <w:ind w:left="6127" w:hanging="235"/>
      </w:pPr>
      <w:rPr>
        <w:rFonts w:hint="default"/>
      </w:rPr>
    </w:lvl>
    <w:lvl w:ilvl="7" w:tplc="2E1429D6">
      <w:numFmt w:val="bullet"/>
      <w:lvlText w:val="•"/>
      <w:lvlJc w:val="left"/>
      <w:pPr>
        <w:ind w:left="7081" w:hanging="235"/>
      </w:pPr>
      <w:rPr>
        <w:rFonts w:hint="default"/>
      </w:rPr>
    </w:lvl>
    <w:lvl w:ilvl="8" w:tplc="6CA4651E">
      <w:numFmt w:val="bullet"/>
      <w:lvlText w:val="•"/>
      <w:lvlJc w:val="left"/>
      <w:pPr>
        <w:ind w:left="8036" w:hanging="235"/>
      </w:pPr>
      <w:rPr>
        <w:rFonts w:hint="default"/>
      </w:rPr>
    </w:lvl>
  </w:abstractNum>
  <w:abstractNum w:abstractNumId="14" w15:restartNumberingAfterBreak="0">
    <w:nsid w:val="639D5638"/>
    <w:multiLevelType w:val="hybridMultilevel"/>
    <w:tmpl w:val="ED2EA17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F203FA5"/>
    <w:multiLevelType w:val="hybridMultilevel"/>
    <w:tmpl w:val="08A63C86"/>
    <w:lvl w:ilvl="0" w:tplc="04070015">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16cid:durableId="1814248097">
    <w:abstractNumId w:val="11"/>
  </w:num>
  <w:num w:numId="2" w16cid:durableId="1479344255">
    <w:abstractNumId w:val="14"/>
  </w:num>
  <w:num w:numId="3" w16cid:durableId="276759283">
    <w:abstractNumId w:val="8"/>
  </w:num>
  <w:num w:numId="4" w16cid:durableId="821968220">
    <w:abstractNumId w:val="1"/>
  </w:num>
  <w:num w:numId="5" w16cid:durableId="1526213560">
    <w:abstractNumId w:val="6"/>
  </w:num>
  <w:num w:numId="6" w16cid:durableId="1671521669">
    <w:abstractNumId w:val="10"/>
  </w:num>
  <w:num w:numId="7" w16cid:durableId="48574721">
    <w:abstractNumId w:val="4"/>
  </w:num>
  <w:num w:numId="8" w16cid:durableId="1812866757">
    <w:abstractNumId w:val="15"/>
  </w:num>
  <w:num w:numId="9" w16cid:durableId="43917519">
    <w:abstractNumId w:val="3"/>
  </w:num>
  <w:num w:numId="10" w16cid:durableId="779496041">
    <w:abstractNumId w:val="9"/>
  </w:num>
  <w:num w:numId="11" w16cid:durableId="628710182">
    <w:abstractNumId w:val="5"/>
  </w:num>
  <w:num w:numId="12" w16cid:durableId="1777361870">
    <w:abstractNumId w:val="13"/>
  </w:num>
  <w:num w:numId="13" w16cid:durableId="2135173176">
    <w:abstractNumId w:val="2"/>
  </w:num>
  <w:num w:numId="14" w16cid:durableId="1000884668">
    <w:abstractNumId w:val="12"/>
  </w:num>
  <w:num w:numId="15" w16cid:durableId="776172346">
    <w:abstractNumId w:val="7"/>
  </w:num>
  <w:num w:numId="16" w16cid:durableId="193548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fr-FR"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4"/>
    <w:rsid w:val="000E6339"/>
    <w:rsid w:val="00347097"/>
    <w:rsid w:val="0067460A"/>
    <w:rsid w:val="007356EE"/>
    <w:rsid w:val="00856D88"/>
    <w:rsid w:val="00D915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1C5BBF"/>
  <w15:docId w15:val="{5638F37C-7D14-4562-B3F0-42C6F8FA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de-DE" w:eastAsia="de-DE"/>
    </w:rPr>
  </w:style>
  <w:style w:type="paragraph" w:styleId="Heading1">
    <w:name w:val="heading 1"/>
    <w:basedOn w:val="Normal"/>
    <w:link w:val="Heading1Char"/>
    <w:uiPriority w:val="9"/>
    <w:qFormat/>
    <w:locked/>
    <w:pPr>
      <w:widowControl w:val="0"/>
      <w:autoSpaceDE w:val="0"/>
      <w:autoSpaceDN w:val="0"/>
      <w:ind w:left="400" w:hanging="245"/>
      <w:jc w:val="both"/>
      <w:outlineLvl w:val="0"/>
    </w:pPr>
    <w:rPr>
      <w:rFonts w:ascii="Arial" w:eastAsia="Arial" w:hAnsi="Arial" w:cs="Arial"/>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autoSpaceDE w:val="0"/>
      <w:autoSpaceDN w:val="0"/>
      <w:adjustRightInd w:val="0"/>
    </w:pPr>
    <w:rPr>
      <w:rFonts w:ascii="Georgia" w:eastAsia="Times New Roman" w:hAnsi="Georgia" w:cs="Georgia"/>
      <w:color w:val="000000"/>
      <w:sz w:val="24"/>
      <w:szCs w:val="24"/>
      <w:lang w:val="de-DE" w:eastAsia="de-DE"/>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eastAsia="de-D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de-DE"/>
    </w:rPr>
  </w:style>
  <w:style w:type="character" w:styleId="CommentReference">
    <w:name w:val="annotation reference"/>
    <w:basedOn w:val="DefaultParagraphFont"/>
    <w:uiPriority w:val="99"/>
    <w:semiHidden/>
    <w:qFormat/>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sz w:val="20"/>
      <w:szCs w:val="20"/>
      <w:lang w:val="de-DE" w:eastAsia="de-D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sz w:val="20"/>
      <w:szCs w:val="20"/>
      <w:lang w:val="de-DE" w:eastAsia="de-DE"/>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lang w:val="de-DE" w:eastAsia="de-DE"/>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Pr>
      <w:rFonts w:ascii="Arial" w:eastAsia="Arial" w:hAnsi="Arial" w:cs="Arial"/>
    </w:rPr>
  </w:style>
  <w:style w:type="character" w:customStyle="1" w:styleId="Heading1Char">
    <w:name w:val="Heading 1 Char"/>
    <w:basedOn w:val="DefaultParagraphFont"/>
    <w:link w:val="Heading1"/>
    <w:uiPriority w:val="9"/>
    <w:rPr>
      <w:rFonts w:ascii="Arial" w:eastAsia="Arial" w:hAnsi="Arial" w:cs="Arial"/>
      <w:b/>
      <w:bC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eastAsia="Times New Roman" w:hAnsi="Times New Roman"/>
      <w:sz w:val="24"/>
      <w:szCs w:val="24"/>
      <w:lang w:val="de-DE" w:eastAsia="de-D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0A9A-665C-4C22-A11C-088E5422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1458</Words>
  <Characters>8312</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COTUTELLE DE THÈSE</vt:lpstr>
      <vt:lpstr>COTUTELLE DE THÈSE</vt:lpstr>
      <vt:lpstr>COTUTELLE DE THÈSE </vt:lpstr>
    </vt:vector>
  </TitlesOfParts>
  <Company>Universitaet Wien</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COTUTELLE DE THÈSE</dc:title>
  <dc:creator>Lisette Schmidt</dc:creator>
  <cp:lastModifiedBy>Alberto Matteo Attilio Guardone</cp:lastModifiedBy>
  <cp:revision>5</cp:revision>
  <cp:lastPrinted>2012-10-05T10:57:00Z</cp:lastPrinted>
  <dcterms:created xsi:type="dcterms:W3CDTF">2023-05-08T09:54:00Z</dcterms:created>
  <dcterms:modified xsi:type="dcterms:W3CDTF">2023-05-10T08:01:00Z</dcterms:modified>
</cp:coreProperties>
</file>